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5121" w14:textId="1607F0EF" w:rsidR="00E35A9D" w:rsidRDefault="00E35A9D" w:rsidP="00E35A9D">
      <w:pPr>
        <w:jc w:val="center"/>
        <w:rPr>
          <w:rFonts w:ascii="Verdana" w:hAnsi="Verdana"/>
          <w:sz w:val="22"/>
          <w:szCs w:val="22"/>
        </w:rPr>
      </w:pPr>
      <w:r w:rsidRPr="007624F7">
        <w:rPr>
          <w:rFonts w:ascii="Verdana" w:hAnsi="Verdana"/>
          <w:b/>
          <w:bCs/>
          <w:sz w:val="22"/>
          <w:szCs w:val="22"/>
        </w:rPr>
        <w:t>RESOLUCIÓN 1396 DE 2012</w:t>
      </w:r>
    </w:p>
    <w:p w14:paraId="6152A61D" w14:textId="2F0FB408" w:rsidR="00E35A9D" w:rsidRPr="00E35A9D" w:rsidRDefault="00E35A9D" w:rsidP="00E35A9D">
      <w:pPr>
        <w:jc w:val="both"/>
        <w:rPr>
          <w:rFonts w:ascii="Verdana" w:hAnsi="Verdana"/>
          <w:sz w:val="20"/>
          <w:szCs w:val="20"/>
        </w:rPr>
      </w:pPr>
      <w:r w:rsidRPr="00E35A9D">
        <w:rPr>
          <w:rFonts w:ascii="Verdana" w:hAnsi="Verdana"/>
          <w:sz w:val="20"/>
          <w:szCs w:val="20"/>
        </w:rPr>
        <w:t>Fecha de Expedición: 17 de abril de 2012</w:t>
      </w:r>
    </w:p>
    <w:p w14:paraId="3ABB968E" w14:textId="49F0266C" w:rsidR="00E35A9D" w:rsidRPr="00E35A9D" w:rsidRDefault="00E35A9D" w:rsidP="00E35A9D">
      <w:pPr>
        <w:jc w:val="both"/>
        <w:rPr>
          <w:rFonts w:ascii="Verdana" w:hAnsi="Verdana"/>
          <w:sz w:val="20"/>
          <w:szCs w:val="20"/>
        </w:rPr>
      </w:pPr>
      <w:r w:rsidRPr="00E35A9D">
        <w:rPr>
          <w:rFonts w:ascii="Verdana" w:hAnsi="Verdana"/>
          <w:sz w:val="20"/>
          <w:szCs w:val="20"/>
        </w:rPr>
        <w:t xml:space="preserve">Fecha de </w:t>
      </w:r>
      <w:proofErr w:type="gramStart"/>
      <w:r w:rsidRPr="00E35A9D">
        <w:rPr>
          <w:rFonts w:ascii="Verdana" w:hAnsi="Verdana"/>
          <w:sz w:val="20"/>
          <w:szCs w:val="20"/>
        </w:rPr>
        <w:t>entrada en vigencia</w:t>
      </w:r>
      <w:proofErr w:type="gramEnd"/>
      <w:r w:rsidRPr="00E35A9D">
        <w:rPr>
          <w:rFonts w:ascii="Verdana" w:hAnsi="Verdana"/>
          <w:sz w:val="20"/>
          <w:szCs w:val="20"/>
        </w:rPr>
        <w:t>: 20 de mayo de 2012</w:t>
      </w:r>
    </w:p>
    <w:p w14:paraId="09DDA7E4" w14:textId="223BF500" w:rsidR="00E35A9D" w:rsidRDefault="00E35A9D" w:rsidP="00E35A9D">
      <w:pPr>
        <w:jc w:val="both"/>
        <w:rPr>
          <w:rFonts w:ascii="Verdana" w:hAnsi="Verdana"/>
          <w:sz w:val="20"/>
          <w:szCs w:val="20"/>
        </w:rPr>
      </w:pPr>
      <w:r w:rsidRPr="00E35A9D">
        <w:rPr>
          <w:rFonts w:ascii="Verdana" w:hAnsi="Verdana"/>
          <w:sz w:val="20"/>
          <w:szCs w:val="20"/>
        </w:rPr>
        <w:t>Estado de la vigencia: derogada por el artículo 10 de la Resolución 1299 de 2013</w:t>
      </w:r>
    </w:p>
    <w:p w14:paraId="678585F2" w14:textId="77777777" w:rsidR="00E35A9D" w:rsidRPr="00E35A9D" w:rsidRDefault="00E35A9D" w:rsidP="00E35A9D">
      <w:pPr>
        <w:jc w:val="both"/>
        <w:rPr>
          <w:rFonts w:ascii="Verdana" w:hAnsi="Verdana"/>
          <w:sz w:val="20"/>
          <w:szCs w:val="20"/>
        </w:rPr>
      </w:pPr>
    </w:p>
    <w:p w14:paraId="177E797F" w14:textId="7A85A52D" w:rsidR="00E35A9D" w:rsidRPr="00E35A9D" w:rsidRDefault="00E35A9D" w:rsidP="00E35A9D">
      <w:pPr>
        <w:jc w:val="both"/>
        <w:rPr>
          <w:rFonts w:ascii="Verdana" w:hAnsi="Verdana"/>
          <w:sz w:val="20"/>
          <w:szCs w:val="20"/>
        </w:rPr>
      </w:pPr>
      <w:r w:rsidRPr="00E35A9D">
        <w:rPr>
          <w:rFonts w:ascii="Verdana" w:hAnsi="Verdana"/>
          <w:sz w:val="20"/>
          <w:szCs w:val="20"/>
        </w:rPr>
        <w:t xml:space="preserve">Fecha de publicación en Diario Oficial: </w:t>
      </w:r>
      <w:r w:rsidRPr="007624F7">
        <w:rPr>
          <w:rFonts w:ascii="Verdana" w:hAnsi="Verdana"/>
          <w:sz w:val="20"/>
          <w:szCs w:val="20"/>
        </w:rPr>
        <w:t>20 de mayo de 2012</w:t>
      </w:r>
    </w:p>
    <w:p w14:paraId="264AD831" w14:textId="12C5922C" w:rsidR="00E35A9D" w:rsidRPr="00E35A9D" w:rsidRDefault="00E35A9D" w:rsidP="00E35A9D">
      <w:pPr>
        <w:jc w:val="both"/>
        <w:rPr>
          <w:rFonts w:ascii="Verdana" w:hAnsi="Verdana"/>
          <w:sz w:val="20"/>
          <w:szCs w:val="20"/>
        </w:rPr>
      </w:pPr>
      <w:r w:rsidRPr="00E35A9D">
        <w:rPr>
          <w:rFonts w:ascii="Verdana" w:hAnsi="Verdana"/>
          <w:sz w:val="20"/>
          <w:szCs w:val="20"/>
        </w:rPr>
        <w:t>Número del Diario Oficial: No. 48.436</w:t>
      </w:r>
    </w:p>
    <w:p w14:paraId="6BEB4274" w14:textId="64B8F2E3" w:rsidR="007624F7" w:rsidRPr="007624F7" w:rsidRDefault="007624F7" w:rsidP="00B64742">
      <w:pPr>
        <w:jc w:val="center"/>
        <w:rPr>
          <w:rFonts w:ascii="Verdana" w:hAnsi="Verdana"/>
          <w:sz w:val="22"/>
          <w:szCs w:val="22"/>
        </w:rPr>
      </w:pPr>
      <w:r w:rsidRPr="007624F7">
        <w:rPr>
          <w:rFonts w:ascii="Verdana" w:hAnsi="Verdana"/>
          <w:b/>
          <w:bCs/>
          <w:sz w:val="22"/>
          <w:szCs w:val="22"/>
        </w:rPr>
        <w:t>RESOLUCIÓN 1396 DE 2012</w:t>
      </w:r>
    </w:p>
    <w:p w14:paraId="3B613CB9" w14:textId="7E0CF2EC" w:rsidR="007624F7" w:rsidRPr="007624F7" w:rsidRDefault="007624F7" w:rsidP="00B64742">
      <w:pPr>
        <w:jc w:val="center"/>
        <w:rPr>
          <w:rFonts w:ascii="Verdana" w:hAnsi="Verdana"/>
          <w:b/>
          <w:bCs/>
          <w:sz w:val="22"/>
          <w:szCs w:val="22"/>
        </w:rPr>
      </w:pPr>
      <w:r w:rsidRPr="007624F7">
        <w:rPr>
          <w:rFonts w:ascii="Verdana" w:hAnsi="Verdana"/>
          <w:b/>
          <w:bCs/>
          <w:sz w:val="22"/>
          <w:szCs w:val="22"/>
        </w:rPr>
        <w:t>(</w:t>
      </w:r>
      <w:r w:rsidR="003B3093" w:rsidRPr="00E35A9D">
        <w:rPr>
          <w:rFonts w:ascii="Verdana" w:hAnsi="Verdana"/>
          <w:b/>
          <w:bCs/>
          <w:sz w:val="22"/>
          <w:szCs w:val="22"/>
        </w:rPr>
        <w:t xml:space="preserve">17 de </w:t>
      </w:r>
      <w:r w:rsidRPr="007624F7">
        <w:rPr>
          <w:rFonts w:ascii="Verdana" w:hAnsi="Verdana"/>
          <w:b/>
          <w:bCs/>
          <w:sz w:val="22"/>
          <w:szCs w:val="22"/>
        </w:rPr>
        <w:t>abril)</w:t>
      </w:r>
    </w:p>
    <w:p w14:paraId="2C0B57FB" w14:textId="77777777" w:rsidR="007624F7" w:rsidRPr="007624F7" w:rsidRDefault="007624F7" w:rsidP="00B64742">
      <w:pPr>
        <w:jc w:val="center"/>
        <w:rPr>
          <w:rFonts w:ascii="Verdana" w:hAnsi="Verdana"/>
          <w:sz w:val="22"/>
          <w:szCs w:val="22"/>
        </w:rPr>
      </w:pPr>
      <w:r w:rsidRPr="007624F7">
        <w:rPr>
          <w:rFonts w:ascii="Verdana" w:hAnsi="Verdana"/>
          <w:b/>
          <w:bCs/>
          <w:sz w:val="22"/>
          <w:szCs w:val="22"/>
        </w:rPr>
        <w:t>INSTITUTO COLOMBIANO DE BIENESTAR FAMILIAR</w:t>
      </w:r>
    </w:p>
    <w:p w14:paraId="4A3AFDA4" w14:textId="77777777" w:rsidR="007624F7" w:rsidRPr="007624F7" w:rsidRDefault="007624F7" w:rsidP="00B64742">
      <w:pPr>
        <w:jc w:val="center"/>
        <w:rPr>
          <w:rFonts w:ascii="Verdana" w:hAnsi="Verdana"/>
          <w:sz w:val="22"/>
          <w:szCs w:val="22"/>
        </w:rPr>
      </w:pPr>
      <w:r w:rsidRPr="007624F7">
        <w:rPr>
          <w:rFonts w:ascii="Verdana" w:hAnsi="Verdana"/>
          <w:b/>
          <w:bCs/>
          <w:sz w:val="22"/>
          <w:szCs w:val="22"/>
        </w:rPr>
        <w:t>CECILIA DE LA FUENTE DE LLERAS</w:t>
      </w:r>
    </w:p>
    <w:p w14:paraId="54216507" w14:textId="77777777" w:rsidR="007624F7" w:rsidRPr="007624F7" w:rsidRDefault="007624F7" w:rsidP="00B64742">
      <w:pPr>
        <w:jc w:val="center"/>
        <w:rPr>
          <w:rFonts w:ascii="Verdana" w:hAnsi="Verdana"/>
          <w:sz w:val="22"/>
          <w:szCs w:val="22"/>
        </w:rPr>
      </w:pPr>
      <w:r w:rsidRPr="007624F7">
        <w:rPr>
          <w:rFonts w:ascii="Verdana" w:hAnsi="Verdana"/>
          <w:b/>
          <w:bCs/>
          <w:sz w:val="22"/>
          <w:szCs w:val="22"/>
        </w:rPr>
        <w:t>DIRECCIÓN GENERAL</w:t>
      </w:r>
    </w:p>
    <w:p w14:paraId="11460E91" w14:textId="726D5BBF" w:rsidR="007624F7" w:rsidRPr="007624F7" w:rsidRDefault="00B64742" w:rsidP="00B64742">
      <w:pPr>
        <w:jc w:val="center"/>
        <w:rPr>
          <w:rFonts w:ascii="Verdana" w:hAnsi="Verdana"/>
          <w:sz w:val="22"/>
          <w:szCs w:val="22"/>
        </w:rPr>
      </w:pPr>
      <w:r>
        <w:rPr>
          <w:rFonts w:ascii="Verdana" w:hAnsi="Verdana"/>
          <w:sz w:val="22"/>
          <w:szCs w:val="22"/>
        </w:rPr>
        <w:t>“</w:t>
      </w:r>
      <w:r w:rsidR="007624F7" w:rsidRPr="007624F7">
        <w:rPr>
          <w:rFonts w:ascii="Verdana" w:hAnsi="Verdana"/>
          <w:sz w:val="22"/>
          <w:szCs w:val="22"/>
        </w:rPr>
        <w:t>Por la cual se modifica la Resolución número 5370 de 1o de diciembre de 2011.</w:t>
      </w:r>
      <w:r>
        <w:rPr>
          <w:rFonts w:ascii="Verdana" w:hAnsi="Verdana"/>
          <w:sz w:val="22"/>
          <w:szCs w:val="22"/>
        </w:rPr>
        <w:t>”</w:t>
      </w:r>
    </w:p>
    <w:p w14:paraId="50B4F602" w14:textId="77777777" w:rsidR="007624F7" w:rsidRPr="007624F7" w:rsidRDefault="007624F7" w:rsidP="00B64742">
      <w:pPr>
        <w:jc w:val="center"/>
        <w:rPr>
          <w:rFonts w:ascii="Verdana" w:hAnsi="Verdana"/>
          <w:sz w:val="22"/>
          <w:szCs w:val="22"/>
        </w:rPr>
      </w:pPr>
      <w:r w:rsidRPr="007624F7">
        <w:rPr>
          <w:rFonts w:ascii="Verdana" w:hAnsi="Verdana"/>
          <w:b/>
          <w:bCs/>
          <w:sz w:val="22"/>
          <w:szCs w:val="22"/>
        </w:rPr>
        <w:t>EL DIRECTOR GENERAL DEL INSTITUTO COLOMBIANO DE BIENESTAR FAMILIAR CECILIA DE LA FUENTE DE LLERAS,</w:t>
      </w:r>
    </w:p>
    <w:p w14:paraId="494E80D2" w14:textId="06B5816B" w:rsidR="007624F7" w:rsidRPr="007624F7" w:rsidRDefault="007624F7" w:rsidP="00B64742">
      <w:pPr>
        <w:jc w:val="center"/>
        <w:rPr>
          <w:rFonts w:ascii="Verdana" w:hAnsi="Verdana"/>
          <w:sz w:val="22"/>
          <w:szCs w:val="22"/>
        </w:rPr>
      </w:pPr>
      <w:r w:rsidRPr="007624F7">
        <w:rPr>
          <w:rFonts w:ascii="Verdana" w:hAnsi="Verdana"/>
          <w:sz w:val="22"/>
          <w:szCs w:val="22"/>
        </w:rPr>
        <w:t>en uso de sus facultades legales y estatutarias, en especial las conferidas en el artículo 78 de la Ley 489 de 1998, el inciso 3o del parágrafo del artículo 16 de la Ley 1176 de 2007, y</w:t>
      </w:r>
    </w:p>
    <w:p w14:paraId="63B0C6D0" w14:textId="77777777" w:rsidR="007624F7" w:rsidRPr="007624F7" w:rsidRDefault="007624F7" w:rsidP="00B64742">
      <w:pPr>
        <w:jc w:val="center"/>
        <w:rPr>
          <w:rFonts w:ascii="Verdana" w:hAnsi="Verdana"/>
          <w:sz w:val="22"/>
          <w:szCs w:val="22"/>
        </w:rPr>
      </w:pPr>
      <w:r w:rsidRPr="007624F7">
        <w:rPr>
          <w:rFonts w:ascii="Verdana" w:hAnsi="Verdana"/>
          <w:b/>
          <w:bCs/>
          <w:sz w:val="22"/>
          <w:szCs w:val="22"/>
        </w:rPr>
        <w:t>CONSIDERANDO:</w:t>
      </w:r>
    </w:p>
    <w:p w14:paraId="0FC80131" w14:textId="04DBE2AE" w:rsidR="007624F7" w:rsidRPr="00B64742" w:rsidRDefault="007624F7" w:rsidP="00B64742">
      <w:pPr>
        <w:pStyle w:val="Prrafodelista"/>
        <w:numPr>
          <w:ilvl w:val="0"/>
          <w:numId w:val="1"/>
        </w:numPr>
        <w:jc w:val="both"/>
        <w:rPr>
          <w:rFonts w:ascii="Verdana" w:hAnsi="Verdana"/>
          <w:sz w:val="22"/>
          <w:szCs w:val="22"/>
        </w:rPr>
      </w:pPr>
      <w:r w:rsidRPr="00B64742">
        <w:rPr>
          <w:rFonts w:ascii="Verdana" w:hAnsi="Verdana"/>
          <w:sz w:val="22"/>
          <w:szCs w:val="22"/>
        </w:rPr>
        <w:t>Que mediante Resolución número 5370 del 1o de diciembre de 2011 se determinó implementar en el Instituto Colombiano de Bienestar Familiar, Cecilia de la Fuente de Lleras, (ICBF), el Sistema de Seguimiento y Monitoreo al Programa de Alimentación Escolar, (</w:t>
      </w:r>
      <w:proofErr w:type="spellStart"/>
      <w:r w:rsidRPr="00B64742">
        <w:rPr>
          <w:rFonts w:ascii="Verdana" w:hAnsi="Verdana"/>
          <w:sz w:val="22"/>
          <w:szCs w:val="22"/>
        </w:rPr>
        <w:t>Sempae</w:t>
      </w:r>
      <w:proofErr w:type="spellEnd"/>
      <w:r w:rsidRPr="00B64742">
        <w:rPr>
          <w:rFonts w:ascii="Verdana" w:hAnsi="Verdana"/>
          <w:sz w:val="22"/>
          <w:szCs w:val="22"/>
        </w:rPr>
        <w:t>), por medio del cual se consolidarán los datos sobre la ejecución presupuestal de ingresos y gastos, y demás información oficial básica de los recursos del Sistema General de Participaciones (SGP), y del Programa de Alimentación Escolar (PAE), del ICBF, destinados a Programas de Alimentación Escolar en el Territorio Nacional.</w:t>
      </w:r>
    </w:p>
    <w:p w14:paraId="06E2704C" w14:textId="77777777" w:rsidR="007624F7" w:rsidRPr="00B64742" w:rsidRDefault="007624F7" w:rsidP="00B64742">
      <w:pPr>
        <w:pStyle w:val="Prrafodelista"/>
        <w:numPr>
          <w:ilvl w:val="0"/>
          <w:numId w:val="1"/>
        </w:numPr>
        <w:jc w:val="both"/>
        <w:rPr>
          <w:rFonts w:ascii="Verdana" w:hAnsi="Verdana"/>
          <w:sz w:val="22"/>
          <w:szCs w:val="22"/>
        </w:rPr>
      </w:pPr>
      <w:proofErr w:type="gramStart"/>
      <w:r w:rsidRPr="00B64742">
        <w:rPr>
          <w:rFonts w:ascii="Verdana" w:hAnsi="Verdana"/>
          <w:sz w:val="22"/>
          <w:szCs w:val="22"/>
        </w:rPr>
        <w:t>Que</w:t>
      </w:r>
      <w:proofErr w:type="gramEnd"/>
      <w:r w:rsidRPr="00B64742">
        <w:rPr>
          <w:rFonts w:ascii="Verdana" w:hAnsi="Verdana"/>
          <w:sz w:val="22"/>
          <w:szCs w:val="22"/>
        </w:rPr>
        <w:t xml:space="preserve"> en la resolución mencionada en el considerando anterior, se estableció como fecha para realizar el primer reporte de la información con corte a 31 de diciembre de 2011, el 15 de marzo de 2012.</w:t>
      </w:r>
    </w:p>
    <w:p w14:paraId="37FACFA1" w14:textId="15462BE3" w:rsidR="007624F7" w:rsidRPr="00B64742" w:rsidRDefault="007624F7" w:rsidP="00B64742">
      <w:pPr>
        <w:pStyle w:val="Prrafodelista"/>
        <w:numPr>
          <w:ilvl w:val="0"/>
          <w:numId w:val="1"/>
        </w:numPr>
        <w:jc w:val="both"/>
        <w:rPr>
          <w:rFonts w:ascii="Verdana" w:hAnsi="Verdana"/>
          <w:sz w:val="22"/>
          <w:szCs w:val="22"/>
        </w:rPr>
      </w:pPr>
      <w:r w:rsidRPr="00B64742">
        <w:rPr>
          <w:rFonts w:ascii="Verdana" w:hAnsi="Verdana"/>
          <w:sz w:val="22"/>
          <w:szCs w:val="22"/>
        </w:rPr>
        <w:t xml:space="preserve">Que actualmente nos encontramos en la etapa de socialización, divulgación e implantación de las categorías del ICBF en el sistema CHIP, </w:t>
      </w:r>
      <w:r w:rsidRPr="00B64742">
        <w:rPr>
          <w:rFonts w:ascii="Verdana" w:hAnsi="Verdana"/>
          <w:sz w:val="22"/>
          <w:szCs w:val="22"/>
        </w:rPr>
        <w:lastRenderedPageBreak/>
        <w:t>por lo que las entidades responsables de reportar la información a este sistema deberán contar con capacitación en las tres nuevas categorías del Instituto y no podrán realizar los reportes de información para el año 2012 en los plazos establecidos en la Resolución número 5370 de 1o de diciembre de 2011.</w:t>
      </w:r>
    </w:p>
    <w:p w14:paraId="2BFC19EC" w14:textId="77777777" w:rsidR="007624F7" w:rsidRPr="00B64742" w:rsidRDefault="007624F7" w:rsidP="00B64742">
      <w:pPr>
        <w:pStyle w:val="Prrafodelista"/>
        <w:numPr>
          <w:ilvl w:val="0"/>
          <w:numId w:val="1"/>
        </w:numPr>
        <w:jc w:val="both"/>
        <w:rPr>
          <w:rFonts w:ascii="Verdana" w:hAnsi="Verdana"/>
          <w:sz w:val="22"/>
          <w:szCs w:val="22"/>
        </w:rPr>
      </w:pPr>
      <w:proofErr w:type="gramStart"/>
      <w:r w:rsidRPr="00B64742">
        <w:rPr>
          <w:rFonts w:ascii="Verdana" w:hAnsi="Verdana"/>
          <w:sz w:val="22"/>
          <w:szCs w:val="22"/>
        </w:rPr>
        <w:t>Que</w:t>
      </w:r>
      <w:proofErr w:type="gramEnd"/>
      <w:r w:rsidRPr="00B64742">
        <w:rPr>
          <w:rFonts w:ascii="Verdana" w:hAnsi="Verdana"/>
          <w:sz w:val="22"/>
          <w:szCs w:val="22"/>
        </w:rPr>
        <w:t xml:space="preserve"> en mérito de lo expuesto,</w:t>
      </w:r>
    </w:p>
    <w:p w14:paraId="017B42B0" w14:textId="77777777" w:rsidR="007624F7" w:rsidRPr="007624F7" w:rsidRDefault="007624F7" w:rsidP="00B64742">
      <w:pPr>
        <w:jc w:val="center"/>
        <w:rPr>
          <w:rFonts w:ascii="Verdana" w:hAnsi="Verdana"/>
          <w:sz w:val="22"/>
          <w:szCs w:val="22"/>
        </w:rPr>
      </w:pPr>
      <w:r w:rsidRPr="007624F7">
        <w:rPr>
          <w:rFonts w:ascii="Verdana" w:hAnsi="Verdana"/>
          <w:b/>
          <w:bCs/>
          <w:sz w:val="22"/>
          <w:szCs w:val="22"/>
        </w:rPr>
        <w:t>RESUELVE:</w:t>
      </w:r>
    </w:p>
    <w:p w14:paraId="70BA0624" w14:textId="7F759070" w:rsidR="007624F7" w:rsidRPr="007624F7" w:rsidRDefault="007624F7" w:rsidP="00407161">
      <w:pPr>
        <w:jc w:val="both"/>
        <w:rPr>
          <w:rFonts w:ascii="Verdana" w:hAnsi="Verdana"/>
          <w:sz w:val="22"/>
          <w:szCs w:val="22"/>
        </w:rPr>
      </w:pPr>
      <w:bookmarkStart w:id="0" w:name="1"/>
      <w:r w:rsidRPr="007624F7">
        <w:rPr>
          <w:rFonts w:ascii="Verdana" w:hAnsi="Verdana"/>
          <w:b/>
          <w:bCs/>
          <w:sz w:val="22"/>
          <w:szCs w:val="22"/>
        </w:rPr>
        <w:t>ARTÍCULO 1o.</w:t>
      </w:r>
      <w:bookmarkEnd w:id="0"/>
      <w:r w:rsidRPr="007624F7">
        <w:rPr>
          <w:rFonts w:ascii="Verdana" w:hAnsi="Verdana"/>
          <w:sz w:val="22"/>
          <w:szCs w:val="22"/>
        </w:rPr>
        <w:t> Modificar el parágrafo 2o del artículo 7o, de la Resolución número 5370 de 2011, el cual quedará así:</w:t>
      </w:r>
    </w:p>
    <w:p w14:paraId="2B8A99BA" w14:textId="73FDD6A4" w:rsidR="007624F7" w:rsidRPr="007624F7" w:rsidRDefault="007624F7" w:rsidP="00407161">
      <w:pPr>
        <w:jc w:val="both"/>
        <w:rPr>
          <w:rFonts w:ascii="Verdana" w:hAnsi="Verdana"/>
          <w:sz w:val="22"/>
          <w:szCs w:val="22"/>
        </w:rPr>
      </w:pPr>
      <w:r w:rsidRPr="007624F7">
        <w:rPr>
          <w:rFonts w:ascii="Verdana" w:hAnsi="Verdana"/>
          <w:b/>
          <w:bCs/>
          <w:sz w:val="22"/>
          <w:szCs w:val="22"/>
        </w:rPr>
        <w:t xml:space="preserve">PARÁGRAFO </w:t>
      </w:r>
      <w:r w:rsidR="00B64742">
        <w:rPr>
          <w:rFonts w:ascii="Verdana" w:hAnsi="Verdana"/>
          <w:b/>
          <w:bCs/>
          <w:sz w:val="22"/>
          <w:szCs w:val="22"/>
        </w:rPr>
        <w:t>SEGUNDO</w:t>
      </w:r>
      <w:r w:rsidRPr="007624F7">
        <w:rPr>
          <w:rFonts w:ascii="Verdana" w:hAnsi="Verdana"/>
          <w:b/>
          <w:bCs/>
          <w:sz w:val="22"/>
          <w:szCs w:val="22"/>
        </w:rPr>
        <w:t>.</w:t>
      </w:r>
      <w:r w:rsidRPr="007624F7">
        <w:rPr>
          <w:rFonts w:ascii="Verdana" w:hAnsi="Verdana"/>
          <w:sz w:val="22"/>
          <w:szCs w:val="22"/>
        </w:rPr>
        <w:t> El primer reporte se presentará con fecha de corte a 31 de diciembre de 2011, el día 30 de septiembre de 2012. Las demás fechas de reporte para el año 2012 son las siguientes:</w:t>
      </w:r>
    </w:p>
    <w:tbl>
      <w:tblPr>
        <w:tblStyle w:val="Tablaconcuadrcula"/>
        <w:tblW w:w="4050" w:type="pct"/>
        <w:tblLook w:val="04A0" w:firstRow="1" w:lastRow="0" w:firstColumn="1" w:lastColumn="0" w:noHBand="0" w:noVBand="1"/>
      </w:tblPr>
      <w:tblGrid>
        <w:gridCol w:w="2860"/>
        <w:gridCol w:w="4291"/>
      </w:tblGrid>
      <w:tr w:rsidR="007624F7" w:rsidRPr="007624F7" w14:paraId="178F6AA6" w14:textId="77777777" w:rsidTr="00407161">
        <w:tc>
          <w:tcPr>
            <w:tcW w:w="2000" w:type="pct"/>
            <w:hideMark/>
          </w:tcPr>
          <w:p w14:paraId="7F384351" w14:textId="77777777" w:rsidR="007624F7" w:rsidRPr="007624F7" w:rsidRDefault="007624F7" w:rsidP="00407161">
            <w:pPr>
              <w:spacing w:after="160" w:line="278" w:lineRule="auto"/>
              <w:jc w:val="both"/>
              <w:rPr>
                <w:rFonts w:ascii="Verdana" w:hAnsi="Verdana"/>
                <w:sz w:val="22"/>
                <w:szCs w:val="22"/>
              </w:rPr>
            </w:pPr>
            <w:r w:rsidRPr="007624F7">
              <w:rPr>
                <w:rFonts w:ascii="Verdana" w:hAnsi="Verdana"/>
                <w:b/>
                <w:bCs/>
                <w:sz w:val="22"/>
                <w:szCs w:val="22"/>
              </w:rPr>
              <w:t>FECHA DE CORTE</w:t>
            </w:r>
          </w:p>
        </w:tc>
        <w:tc>
          <w:tcPr>
            <w:tcW w:w="3000" w:type="pct"/>
            <w:hideMark/>
          </w:tcPr>
          <w:p w14:paraId="2C7B76F5" w14:textId="77777777" w:rsidR="007624F7" w:rsidRPr="007624F7" w:rsidRDefault="007624F7" w:rsidP="00407161">
            <w:pPr>
              <w:spacing w:after="160" w:line="278" w:lineRule="auto"/>
              <w:jc w:val="both"/>
              <w:rPr>
                <w:rFonts w:ascii="Verdana" w:hAnsi="Verdana"/>
                <w:sz w:val="22"/>
                <w:szCs w:val="22"/>
              </w:rPr>
            </w:pPr>
            <w:r w:rsidRPr="007624F7">
              <w:rPr>
                <w:rFonts w:ascii="Verdana" w:hAnsi="Verdana"/>
                <w:b/>
                <w:bCs/>
                <w:sz w:val="22"/>
                <w:szCs w:val="22"/>
              </w:rPr>
              <w:t>FECHA LÍMITE DE PRESENTACIÓN</w:t>
            </w:r>
          </w:p>
        </w:tc>
      </w:tr>
      <w:tr w:rsidR="007624F7" w:rsidRPr="007624F7" w14:paraId="1DE99A8B" w14:textId="77777777" w:rsidTr="00407161">
        <w:tc>
          <w:tcPr>
            <w:tcW w:w="2000" w:type="pct"/>
            <w:hideMark/>
          </w:tcPr>
          <w:p w14:paraId="73FB2D61" w14:textId="77777777" w:rsidR="007624F7" w:rsidRPr="007624F7" w:rsidRDefault="007624F7" w:rsidP="00407161">
            <w:pPr>
              <w:spacing w:after="160" w:line="278" w:lineRule="auto"/>
              <w:jc w:val="both"/>
              <w:rPr>
                <w:rFonts w:ascii="Verdana" w:hAnsi="Verdana"/>
                <w:sz w:val="22"/>
                <w:szCs w:val="22"/>
              </w:rPr>
            </w:pPr>
            <w:r w:rsidRPr="007624F7">
              <w:rPr>
                <w:rFonts w:ascii="Verdana" w:hAnsi="Verdana"/>
                <w:sz w:val="22"/>
                <w:szCs w:val="22"/>
              </w:rPr>
              <w:t>31 de marzo de 2012</w:t>
            </w:r>
          </w:p>
        </w:tc>
        <w:tc>
          <w:tcPr>
            <w:tcW w:w="3000" w:type="pct"/>
            <w:hideMark/>
          </w:tcPr>
          <w:p w14:paraId="0608E298" w14:textId="77777777" w:rsidR="007624F7" w:rsidRPr="007624F7" w:rsidRDefault="007624F7" w:rsidP="00407161">
            <w:pPr>
              <w:spacing w:after="160" w:line="278" w:lineRule="auto"/>
              <w:jc w:val="both"/>
              <w:rPr>
                <w:rFonts w:ascii="Verdana" w:hAnsi="Verdana"/>
                <w:sz w:val="22"/>
                <w:szCs w:val="22"/>
              </w:rPr>
            </w:pPr>
            <w:r w:rsidRPr="007624F7">
              <w:rPr>
                <w:rFonts w:ascii="Verdana" w:hAnsi="Verdana"/>
                <w:sz w:val="22"/>
                <w:szCs w:val="22"/>
              </w:rPr>
              <w:t>30 de noviembre de 2012</w:t>
            </w:r>
          </w:p>
        </w:tc>
      </w:tr>
      <w:tr w:rsidR="007624F7" w:rsidRPr="007624F7" w14:paraId="4FDEA2E4" w14:textId="77777777" w:rsidTr="00407161">
        <w:tc>
          <w:tcPr>
            <w:tcW w:w="2000" w:type="pct"/>
            <w:hideMark/>
          </w:tcPr>
          <w:p w14:paraId="25DA7840" w14:textId="77777777" w:rsidR="007624F7" w:rsidRPr="007624F7" w:rsidRDefault="007624F7" w:rsidP="00407161">
            <w:pPr>
              <w:spacing w:after="160" w:line="278" w:lineRule="auto"/>
              <w:jc w:val="both"/>
              <w:rPr>
                <w:rFonts w:ascii="Verdana" w:hAnsi="Verdana"/>
                <w:sz w:val="22"/>
                <w:szCs w:val="22"/>
              </w:rPr>
            </w:pPr>
            <w:r w:rsidRPr="007624F7">
              <w:rPr>
                <w:rFonts w:ascii="Verdana" w:hAnsi="Verdana"/>
                <w:sz w:val="22"/>
                <w:szCs w:val="22"/>
              </w:rPr>
              <w:t>30 de junio de 2012</w:t>
            </w:r>
          </w:p>
        </w:tc>
        <w:tc>
          <w:tcPr>
            <w:tcW w:w="3000" w:type="pct"/>
            <w:hideMark/>
          </w:tcPr>
          <w:p w14:paraId="4943FA1A" w14:textId="77777777" w:rsidR="007624F7" w:rsidRPr="007624F7" w:rsidRDefault="007624F7" w:rsidP="00407161">
            <w:pPr>
              <w:spacing w:after="160" w:line="278" w:lineRule="auto"/>
              <w:jc w:val="both"/>
              <w:rPr>
                <w:rFonts w:ascii="Verdana" w:hAnsi="Verdana"/>
                <w:sz w:val="22"/>
                <w:szCs w:val="22"/>
              </w:rPr>
            </w:pPr>
            <w:r w:rsidRPr="007624F7">
              <w:rPr>
                <w:rFonts w:ascii="Verdana" w:hAnsi="Verdana"/>
                <w:sz w:val="22"/>
                <w:szCs w:val="22"/>
              </w:rPr>
              <w:t>31 de enero de 2013</w:t>
            </w:r>
          </w:p>
        </w:tc>
      </w:tr>
      <w:tr w:rsidR="007624F7" w:rsidRPr="007624F7" w14:paraId="793FB9AC" w14:textId="77777777" w:rsidTr="00407161">
        <w:tc>
          <w:tcPr>
            <w:tcW w:w="2000" w:type="pct"/>
            <w:hideMark/>
          </w:tcPr>
          <w:p w14:paraId="2B1BF0CD" w14:textId="77777777" w:rsidR="007624F7" w:rsidRPr="007624F7" w:rsidRDefault="007624F7" w:rsidP="00407161">
            <w:pPr>
              <w:spacing w:after="160" w:line="278" w:lineRule="auto"/>
              <w:jc w:val="both"/>
              <w:rPr>
                <w:rFonts w:ascii="Verdana" w:hAnsi="Verdana"/>
                <w:sz w:val="22"/>
                <w:szCs w:val="22"/>
              </w:rPr>
            </w:pPr>
            <w:r w:rsidRPr="007624F7">
              <w:rPr>
                <w:rFonts w:ascii="Verdana" w:hAnsi="Verdana"/>
                <w:sz w:val="22"/>
                <w:szCs w:val="22"/>
              </w:rPr>
              <w:t>30 de septiembre de 2012</w:t>
            </w:r>
          </w:p>
        </w:tc>
        <w:tc>
          <w:tcPr>
            <w:tcW w:w="3000" w:type="pct"/>
            <w:hideMark/>
          </w:tcPr>
          <w:p w14:paraId="69F1B87E" w14:textId="77777777" w:rsidR="007624F7" w:rsidRPr="007624F7" w:rsidRDefault="007624F7" w:rsidP="00407161">
            <w:pPr>
              <w:spacing w:after="160" w:line="278" w:lineRule="auto"/>
              <w:jc w:val="both"/>
              <w:rPr>
                <w:rFonts w:ascii="Verdana" w:hAnsi="Verdana"/>
                <w:sz w:val="22"/>
                <w:szCs w:val="22"/>
              </w:rPr>
            </w:pPr>
            <w:r w:rsidRPr="007624F7">
              <w:rPr>
                <w:rFonts w:ascii="Verdana" w:hAnsi="Verdana"/>
                <w:sz w:val="22"/>
                <w:szCs w:val="22"/>
              </w:rPr>
              <w:t>28 de febrero de 2013</w:t>
            </w:r>
          </w:p>
        </w:tc>
      </w:tr>
      <w:tr w:rsidR="007624F7" w:rsidRPr="007624F7" w14:paraId="7199AC69" w14:textId="77777777" w:rsidTr="00407161">
        <w:tc>
          <w:tcPr>
            <w:tcW w:w="2000" w:type="pct"/>
            <w:hideMark/>
          </w:tcPr>
          <w:p w14:paraId="1CC2FE03" w14:textId="77777777" w:rsidR="007624F7" w:rsidRPr="007624F7" w:rsidRDefault="007624F7" w:rsidP="00407161">
            <w:pPr>
              <w:spacing w:after="160" w:line="278" w:lineRule="auto"/>
              <w:jc w:val="both"/>
              <w:rPr>
                <w:rFonts w:ascii="Verdana" w:hAnsi="Verdana"/>
                <w:sz w:val="22"/>
                <w:szCs w:val="22"/>
              </w:rPr>
            </w:pPr>
            <w:r w:rsidRPr="007624F7">
              <w:rPr>
                <w:rFonts w:ascii="Verdana" w:hAnsi="Verdana"/>
                <w:sz w:val="22"/>
                <w:szCs w:val="22"/>
              </w:rPr>
              <w:t>31 de diciembre de 2012</w:t>
            </w:r>
          </w:p>
        </w:tc>
        <w:tc>
          <w:tcPr>
            <w:tcW w:w="3000" w:type="pct"/>
            <w:hideMark/>
          </w:tcPr>
          <w:p w14:paraId="7F977CBF" w14:textId="77777777" w:rsidR="007624F7" w:rsidRPr="007624F7" w:rsidRDefault="007624F7" w:rsidP="00407161">
            <w:pPr>
              <w:spacing w:after="160" w:line="278" w:lineRule="auto"/>
              <w:jc w:val="both"/>
              <w:rPr>
                <w:rFonts w:ascii="Verdana" w:hAnsi="Verdana"/>
                <w:sz w:val="22"/>
                <w:szCs w:val="22"/>
              </w:rPr>
            </w:pPr>
            <w:r w:rsidRPr="007624F7">
              <w:rPr>
                <w:rFonts w:ascii="Verdana" w:hAnsi="Verdana"/>
                <w:sz w:val="22"/>
                <w:szCs w:val="22"/>
              </w:rPr>
              <w:t>31 de marzo de 2013</w:t>
            </w:r>
          </w:p>
        </w:tc>
      </w:tr>
    </w:tbl>
    <w:p w14:paraId="1E87B36F" w14:textId="67C73F20" w:rsidR="007624F7" w:rsidRPr="007624F7" w:rsidRDefault="007624F7" w:rsidP="00407161">
      <w:pPr>
        <w:jc w:val="both"/>
        <w:rPr>
          <w:rFonts w:ascii="Verdana" w:hAnsi="Verdana"/>
          <w:sz w:val="22"/>
          <w:szCs w:val="22"/>
        </w:rPr>
      </w:pPr>
      <w:bookmarkStart w:id="1" w:name="2"/>
      <w:r w:rsidRPr="007624F7">
        <w:rPr>
          <w:rFonts w:ascii="Verdana" w:hAnsi="Verdana"/>
          <w:b/>
          <w:bCs/>
          <w:sz w:val="22"/>
          <w:szCs w:val="22"/>
        </w:rPr>
        <w:t>ARTÍCULO 2o. COMUNICACIÓN.</w:t>
      </w:r>
      <w:bookmarkEnd w:id="1"/>
      <w:r w:rsidRPr="007624F7">
        <w:rPr>
          <w:rFonts w:ascii="Verdana" w:hAnsi="Verdana"/>
          <w:sz w:val="22"/>
          <w:szCs w:val="22"/>
        </w:rPr>
        <w:t> </w:t>
      </w:r>
      <w:r w:rsidR="00E35A9D" w:rsidRPr="007624F7">
        <w:rPr>
          <w:rFonts w:ascii="Verdana" w:hAnsi="Verdana"/>
          <w:sz w:val="22"/>
          <w:szCs w:val="22"/>
        </w:rPr>
        <w:t xml:space="preserve"> </w:t>
      </w:r>
      <w:r w:rsidRPr="007624F7">
        <w:rPr>
          <w:rFonts w:ascii="Verdana" w:hAnsi="Verdana"/>
          <w:sz w:val="22"/>
          <w:szCs w:val="22"/>
        </w:rPr>
        <w:t>La presente resolución se publicará en el portal web del ICBF y se comunicará a las Gobernaciones de los departamentos para su correspondiente divulgación.</w:t>
      </w:r>
    </w:p>
    <w:p w14:paraId="56FB7154" w14:textId="06D68147" w:rsidR="007624F7" w:rsidRPr="007624F7" w:rsidRDefault="007624F7" w:rsidP="00407161">
      <w:pPr>
        <w:jc w:val="both"/>
        <w:rPr>
          <w:rFonts w:ascii="Verdana" w:hAnsi="Verdana"/>
          <w:sz w:val="22"/>
          <w:szCs w:val="22"/>
        </w:rPr>
      </w:pPr>
      <w:bookmarkStart w:id="2" w:name="3"/>
      <w:r w:rsidRPr="007624F7">
        <w:rPr>
          <w:rFonts w:ascii="Verdana" w:hAnsi="Verdana"/>
          <w:b/>
          <w:bCs/>
          <w:sz w:val="22"/>
          <w:szCs w:val="22"/>
        </w:rPr>
        <w:t>ARTÍCULO 3o. VIGENCIA.</w:t>
      </w:r>
      <w:bookmarkEnd w:id="2"/>
      <w:r w:rsidRPr="007624F7">
        <w:rPr>
          <w:rFonts w:ascii="Verdana" w:hAnsi="Verdana"/>
          <w:sz w:val="22"/>
          <w:szCs w:val="22"/>
        </w:rPr>
        <w:t> </w:t>
      </w:r>
      <w:r w:rsidR="00407161" w:rsidRPr="00407161">
        <w:rPr>
          <w:rFonts w:ascii="Verdana" w:hAnsi="Verdana"/>
          <w:sz w:val="22"/>
          <w:szCs w:val="22"/>
        </w:rPr>
        <w:t>[</w:t>
      </w:r>
      <w:r w:rsidRPr="007624F7">
        <w:rPr>
          <w:rFonts w:ascii="Verdana" w:hAnsi="Verdana"/>
          <w:sz w:val="22"/>
          <w:szCs w:val="22"/>
        </w:rPr>
        <w:t>Resolución derogada por el artículo 10 de la Resolución 1299 de 2013</w:t>
      </w:r>
      <w:r w:rsidR="00407161" w:rsidRPr="00407161">
        <w:rPr>
          <w:rFonts w:ascii="Verdana" w:hAnsi="Verdana"/>
          <w:sz w:val="22"/>
          <w:szCs w:val="22"/>
        </w:rPr>
        <w:t>]</w:t>
      </w:r>
      <w:r w:rsidRPr="007624F7">
        <w:rPr>
          <w:rFonts w:ascii="Verdana" w:hAnsi="Verdana"/>
          <w:b/>
          <w:bCs/>
          <w:sz w:val="22"/>
          <w:szCs w:val="22"/>
        </w:rPr>
        <w:t> </w:t>
      </w:r>
      <w:r w:rsidRPr="007624F7">
        <w:rPr>
          <w:rFonts w:ascii="Verdana" w:hAnsi="Verdana"/>
          <w:sz w:val="22"/>
          <w:szCs w:val="22"/>
        </w:rPr>
        <w:t>La presente resolución rige a partir de la fecha de su publicación.</w:t>
      </w:r>
    </w:p>
    <w:p w14:paraId="073792B7" w14:textId="169FAD32" w:rsidR="007624F7" w:rsidRPr="007624F7" w:rsidRDefault="00407161" w:rsidP="00407161">
      <w:pPr>
        <w:jc w:val="center"/>
        <w:rPr>
          <w:rFonts w:ascii="Verdana" w:hAnsi="Verdana"/>
          <w:b/>
          <w:bCs/>
          <w:sz w:val="22"/>
          <w:szCs w:val="22"/>
        </w:rPr>
      </w:pPr>
      <w:r w:rsidRPr="00407161">
        <w:rPr>
          <w:rFonts w:ascii="Verdana" w:hAnsi="Verdana"/>
          <w:b/>
          <w:bCs/>
          <w:sz w:val="22"/>
          <w:szCs w:val="22"/>
        </w:rPr>
        <w:t>PUBLÍQUESE, COMUNÍQUESE Y CÚMPLASE,</w:t>
      </w:r>
    </w:p>
    <w:p w14:paraId="7A0418DF" w14:textId="7E8D85B6" w:rsidR="007624F7" w:rsidRPr="007624F7" w:rsidRDefault="007624F7" w:rsidP="00407161">
      <w:pPr>
        <w:jc w:val="center"/>
        <w:rPr>
          <w:rFonts w:ascii="Verdana" w:hAnsi="Verdana"/>
          <w:sz w:val="22"/>
          <w:szCs w:val="22"/>
        </w:rPr>
      </w:pPr>
      <w:r w:rsidRPr="007624F7">
        <w:rPr>
          <w:rFonts w:ascii="Verdana" w:hAnsi="Verdana"/>
          <w:sz w:val="22"/>
          <w:szCs w:val="22"/>
        </w:rPr>
        <w:t xml:space="preserve">Dada en Bogotá, D. C., a </w:t>
      </w:r>
      <w:r w:rsidR="00407161">
        <w:rPr>
          <w:rFonts w:ascii="Verdana" w:hAnsi="Verdana"/>
          <w:sz w:val="22"/>
          <w:szCs w:val="22"/>
        </w:rPr>
        <w:t xml:space="preserve">los </w:t>
      </w:r>
      <w:r w:rsidRPr="007624F7">
        <w:rPr>
          <w:rFonts w:ascii="Verdana" w:hAnsi="Verdana"/>
          <w:sz w:val="22"/>
          <w:szCs w:val="22"/>
        </w:rPr>
        <w:t xml:space="preserve">17 </w:t>
      </w:r>
      <w:r w:rsidR="00407161">
        <w:rPr>
          <w:rFonts w:ascii="Verdana" w:hAnsi="Verdana"/>
          <w:sz w:val="22"/>
          <w:szCs w:val="22"/>
        </w:rPr>
        <w:t xml:space="preserve">días del mes </w:t>
      </w:r>
      <w:r w:rsidRPr="007624F7">
        <w:rPr>
          <w:rFonts w:ascii="Verdana" w:hAnsi="Verdana"/>
          <w:sz w:val="22"/>
          <w:szCs w:val="22"/>
        </w:rPr>
        <w:t>de abril de 2012.</w:t>
      </w:r>
    </w:p>
    <w:p w14:paraId="2679FF20" w14:textId="77777777" w:rsidR="00407161" w:rsidRPr="007624F7" w:rsidRDefault="00407161" w:rsidP="00407161">
      <w:pPr>
        <w:jc w:val="center"/>
        <w:rPr>
          <w:rFonts w:ascii="Verdana" w:hAnsi="Verdana"/>
          <w:sz w:val="22"/>
          <w:szCs w:val="22"/>
        </w:rPr>
      </w:pPr>
      <w:r w:rsidRPr="007624F7">
        <w:rPr>
          <w:rFonts w:ascii="Verdana" w:hAnsi="Verdana"/>
          <w:b/>
          <w:bCs/>
          <w:sz w:val="22"/>
          <w:szCs w:val="22"/>
        </w:rPr>
        <w:t>DIEGO ANDRÉS MOLANO APONTE.</w:t>
      </w:r>
    </w:p>
    <w:p w14:paraId="0A3B0B2A" w14:textId="4FE7C4B5" w:rsidR="007624F7" w:rsidRPr="007624F7" w:rsidRDefault="00407161" w:rsidP="00407161">
      <w:pPr>
        <w:jc w:val="center"/>
        <w:rPr>
          <w:rFonts w:ascii="Verdana" w:hAnsi="Verdana"/>
          <w:sz w:val="22"/>
          <w:szCs w:val="22"/>
        </w:rPr>
      </w:pPr>
      <w:r w:rsidRPr="007624F7">
        <w:rPr>
          <w:rFonts w:ascii="Verdana" w:hAnsi="Verdana"/>
          <w:sz w:val="22"/>
          <w:szCs w:val="22"/>
        </w:rPr>
        <w:t>EL DIRECTOR GENERAL</w:t>
      </w:r>
    </w:p>
    <w:p w14:paraId="0A91F204" w14:textId="77777777" w:rsidR="00A724C4" w:rsidRDefault="00A724C4" w:rsidP="00407161">
      <w:pPr>
        <w:jc w:val="center"/>
      </w:pPr>
    </w:p>
    <w:sectPr w:rsidR="00A724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BBE"/>
    <w:multiLevelType w:val="hybridMultilevel"/>
    <w:tmpl w:val="42A89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4679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6E"/>
    <w:rsid w:val="00243CB4"/>
    <w:rsid w:val="003B3093"/>
    <w:rsid w:val="00407161"/>
    <w:rsid w:val="004B0066"/>
    <w:rsid w:val="00683A9F"/>
    <w:rsid w:val="007624F7"/>
    <w:rsid w:val="00A0334D"/>
    <w:rsid w:val="00A724C4"/>
    <w:rsid w:val="00B64742"/>
    <w:rsid w:val="00E35A9D"/>
    <w:rsid w:val="00FE04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086A"/>
  <w15:chartTrackingRefBased/>
  <w15:docId w15:val="{8A5B35D5-500C-4307-B2D8-79035933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0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0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04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04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04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04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04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04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04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04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04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04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04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04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04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04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04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046E"/>
    <w:rPr>
      <w:rFonts w:eastAsiaTheme="majorEastAsia" w:cstheme="majorBidi"/>
      <w:color w:val="272727" w:themeColor="text1" w:themeTint="D8"/>
    </w:rPr>
  </w:style>
  <w:style w:type="paragraph" w:styleId="Ttulo">
    <w:name w:val="Title"/>
    <w:basedOn w:val="Normal"/>
    <w:next w:val="Normal"/>
    <w:link w:val="TtuloCar"/>
    <w:uiPriority w:val="10"/>
    <w:qFormat/>
    <w:rsid w:val="00FE0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04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04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04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046E"/>
    <w:pPr>
      <w:spacing w:before="160"/>
      <w:jc w:val="center"/>
    </w:pPr>
    <w:rPr>
      <w:i/>
      <w:iCs/>
      <w:color w:val="404040" w:themeColor="text1" w:themeTint="BF"/>
    </w:rPr>
  </w:style>
  <w:style w:type="character" w:customStyle="1" w:styleId="CitaCar">
    <w:name w:val="Cita Car"/>
    <w:basedOn w:val="Fuentedeprrafopredeter"/>
    <w:link w:val="Cita"/>
    <w:uiPriority w:val="29"/>
    <w:rsid w:val="00FE046E"/>
    <w:rPr>
      <w:i/>
      <w:iCs/>
      <w:color w:val="404040" w:themeColor="text1" w:themeTint="BF"/>
    </w:rPr>
  </w:style>
  <w:style w:type="paragraph" w:styleId="Prrafodelista">
    <w:name w:val="List Paragraph"/>
    <w:basedOn w:val="Normal"/>
    <w:uiPriority w:val="34"/>
    <w:qFormat/>
    <w:rsid w:val="00FE046E"/>
    <w:pPr>
      <w:ind w:left="720"/>
      <w:contextualSpacing/>
    </w:pPr>
  </w:style>
  <w:style w:type="character" w:styleId="nfasisintenso">
    <w:name w:val="Intense Emphasis"/>
    <w:basedOn w:val="Fuentedeprrafopredeter"/>
    <w:uiPriority w:val="21"/>
    <w:qFormat/>
    <w:rsid w:val="00FE046E"/>
    <w:rPr>
      <w:i/>
      <w:iCs/>
      <w:color w:val="0F4761" w:themeColor="accent1" w:themeShade="BF"/>
    </w:rPr>
  </w:style>
  <w:style w:type="paragraph" w:styleId="Citadestacada">
    <w:name w:val="Intense Quote"/>
    <w:basedOn w:val="Normal"/>
    <w:next w:val="Normal"/>
    <w:link w:val="CitadestacadaCar"/>
    <w:uiPriority w:val="30"/>
    <w:qFormat/>
    <w:rsid w:val="00FE0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046E"/>
    <w:rPr>
      <w:i/>
      <w:iCs/>
      <w:color w:val="0F4761" w:themeColor="accent1" w:themeShade="BF"/>
    </w:rPr>
  </w:style>
  <w:style w:type="character" w:styleId="Referenciaintensa">
    <w:name w:val="Intense Reference"/>
    <w:basedOn w:val="Fuentedeprrafopredeter"/>
    <w:uiPriority w:val="32"/>
    <w:qFormat/>
    <w:rsid w:val="00FE046E"/>
    <w:rPr>
      <w:b/>
      <w:bCs/>
      <w:smallCaps/>
      <w:color w:val="0F4761" w:themeColor="accent1" w:themeShade="BF"/>
      <w:spacing w:val="5"/>
    </w:rPr>
  </w:style>
  <w:style w:type="character" w:styleId="Hipervnculo">
    <w:name w:val="Hyperlink"/>
    <w:basedOn w:val="Fuentedeprrafopredeter"/>
    <w:uiPriority w:val="99"/>
    <w:unhideWhenUsed/>
    <w:rsid w:val="007624F7"/>
    <w:rPr>
      <w:color w:val="467886" w:themeColor="hyperlink"/>
      <w:u w:val="single"/>
    </w:rPr>
  </w:style>
  <w:style w:type="character" w:styleId="Mencinsinresolver">
    <w:name w:val="Unresolved Mention"/>
    <w:basedOn w:val="Fuentedeprrafopredeter"/>
    <w:uiPriority w:val="99"/>
    <w:semiHidden/>
    <w:unhideWhenUsed/>
    <w:rsid w:val="007624F7"/>
    <w:rPr>
      <w:color w:val="605E5C"/>
      <w:shd w:val="clear" w:color="auto" w:fill="E1DFDD"/>
    </w:rPr>
  </w:style>
  <w:style w:type="table" w:styleId="Tablaconcuadrcula">
    <w:name w:val="Table Grid"/>
    <w:basedOn w:val="Tablanormal"/>
    <w:uiPriority w:val="39"/>
    <w:rsid w:val="00407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4D9F9-FC5C-4EA3-B1D7-09235A85EE13}"/>
</file>

<file path=customXml/itemProps2.xml><?xml version="1.0" encoding="utf-8"?>
<ds:datastoreItem xmlns:ds="http://schemas.openxmlformats.org/officeDocument/2006/customXml" ds:itemID="{2C7BA23B-545A-4598-A44D-0D37509EE12E}"/>
</file>

<file path=customXml/itemProps3.xml><?xml version="1.0" encoding="utf-8"?>
<ds:datastoreItem xmlns:ds="http://schemas.openxmlformats.org/officeDocument/2006/customXml" ds:itemID="{D7738E64-DD89-4A5C-A582-C1BBC9FBC2EC}"/>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2571</Characters>
  <Application>Microsoft Office Word</Application>
  <DocSecurity>0</DocSecurity>
  <Lines>69</Lines>
  <Paragraphs>38</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2026-01-22T16:31:00Z</dcterms:created>
  <dcterms:modified xsi:type="dcterms:W3CDTF">2026-01-22T16:31:00Z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