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4608" w14:textId="77777777" w:rsidR="00D2705C" w:rsidRPr="00835C69" w:rsidRDefault="00D2705C" w:rsidP="00D2705C">
      <w:pPr>
        <w:rPr>
          <w:rFonts w:ascii="Verdana" w:hAnsi="Verdana"/>
          <w:sz w:val="22"/>
          <w:szCs w:val="22"/>
        </w:rPr>
      </w:pPr>
    </w:p>
    <w:p w14:paraId="159E786A" w14:textId="2CA0E296" w:rsidR="00D2705C" w:rsidRPr="00D2705C" w:rsidRDefault="00D2705C" w:rsidP="00D2705C">
      <w:pPr>
        <w:jc w:val="center"/>
        <w:rPr>
          <w:rFonts w:ascii="Verdana" w:hAnsi="Verdana"/>
          <w:b/>
          <w:bCs/>
          <w:sz w:val="22"/>
          <w:szCs w:val="22"/>
        </w:rPr>
      </w:pPr>
      <w:r w:rsidRPr="00835C69">
        <w:rPr>
          <w:rFonts w:ascii="Verdana" w:hAnsi="Verdana"/>
          <w:b/>
          <w:bCs/>
          <w:sz w:val="22"/>
          <w:szCs w:val="22"/>
        </w:rPr>
        <w:t>RESOLUCIÓN 1395 DE 2012</w:t>
      </w:r>
    </w:p>
    <w:p w14:paraId="30C90058" w14:textId="77777777" w:rsidR="000B162F" w:rsidRPr="000B162F" w:rsidRDefault="000B162F" w:rsidP="000B162F">
      <w:pPr>
        <w:pStyle w:val="Sinespaciado"/>
        <w:rPr>
          <w:rFonts w:ascii="Verdana" w:hAnsi="Verdana"/>
          <w:sz w:val="20"/>
          <w:szCs w:val="20"/>
        </w:rPr>
      </w:pPr>
      <w:r w:rsidRPr="000B162F">
        <w:rPr>
          <w:rFonts w:ascii="Verdana" w:hAnsi="Verdana"/>
          <w:sz w:val="20"/>
          <w:szCs w:val="20"/>
        </w:rPr>
        <w:t>Fecha de Expedición: 17 de abril de 2012</w:t>
      </w:r>
    </w:p>
    <w:p w14:paraId="2A1F065D" w14:textId="77777777" w:rsidR="000B162F" w:rsidRPr="000B162F" w:rsidRDefault="000B162F" w:rsidP="000B162F">
      <w:pPr>
        <w:pStyle w:val="Sinespaciado"/>
        <w:rPr>
          <w:rFonts w:ascii="Verdana" w:hAnsi="Verdana"/>
          <w:sz w:val="20"/>
          <w:szCs w:val="20"/>
        </w:rPr>
      </w:pPr>
      <w:r w:rsidRPr="000B162F">
        <w:rPr>
          <w:rFonts w:ascii="Verdana" w:hAnsi="Verdana"/>
          <w:sz w:val="20"/>
          <w:szCs w:val="20"/>
        </w:rPr>
        <w:t>Fecha de entrada en vigencia: 20 de mayo de 2012</w:t>
      </w:r>
    </w:p>
    <w:p w14:paraId="0343E1D3" w14:textId="77777777" w:rsidR="000B162F" w:rsidRPr="000B162F" w:rsidRDefault="000B162F" w:rsidP="000B162F">
      <w:pPr>
        <w:pStyle w:val="Sinespaciado"/>
        <w:rPr>
          <w:rFonts w:ascii="Verdana" w:hAnsi="Verdana"/>
          <w:sz w:val="20"/>
          <w:szCs w:val="20"/>
        </w:rPr>
      </w:pPr>
      <w:r w:rsidRPr="000B162F">
        <w:rPr>
          <w:rFonts w:ascii="Verdana" w:hAnsi="Verdana"/>
          <w:sz w:val="20"/>
          <w:szCs w:val="20"/>
        </w:rPr>
        <w:t>Estado de la vigencia: derogada por el artículo 6 de la Resolución 1520 de 2016</w:t>
      </w:r>
    </w:p>
    <w:p w14:paraId="6C618528" w14:textId="77777777" w:rsidR="000B162F" w:rsidRPr="000B162F" w:rsidRDefault="000B162F" w:rsidP="000B162F">
      <w:pPr>
        <w:pStyle w:val="Sinespaciado"/>
        <w:rPr>
          <w:rFonts w:ascii="Verdana" w:hAnsi="Verdana"/>
          <w:sz w:val="20"/>
          <w:szCs w:val="20"/>
        </w:rPr>
      </w:pPr>
    </w:p>
    <w:p w14:paraId="5E3B0C6E" w14:textId="27FE9331" w:rsidR="000B162F" w:rsidRPr="000B162F" w:rsidRDefault="000B162F" w:rsidP="000B162F">
      <w:pPr>
        <w:pStyle w:val="Sinespaciado"/>
        <w:rPr>
          <w:rFonts w:ascii="Verdana" w:hAnsi="Verdana"/>
          <w:sz w:val="20"/>
          <w:szCs w:val="20"/>
        </w:rPr>
      </w:pPr>
      <w:r w:rsidRPr="000B162F">
        <w:rPr>
          <w:rFonts w:ascii="Verdana" w:hAnsi="Verdana"/>
          <w:sz w:val="20"/>
          <w:szCs w:val="20"/>
        </w:rPr>
        <w:t>Fecha de publicación en Diario Oficial: 20 de mayo de 2012</w:t>
      </w:r>
    </w:p>
    <w:p w14:paraId="21E30B90" w14:textId="1A58BB52" w:rsidR="0088588F" w:rsidRPr="000B162F" w:rsidRDefault="000B162F" w:rsidP="000B162F">
      <w:pPr>
        <w:pStyle w:val="Sinespaciado"/>
        <w:rPr>
          <w:rFonts w:ascii="Verdana" w:hAnsi="Verdana"/>
          <w:sz w:val="20"/>
          <w:szCs w:val="20"/>
        </w:rPr>
      </w:pPr>
      <w:r w:rsidRPr="000B162F">
        <w:rPr>
          <w:rFonts w:ascii="Verdana" w:hAnsi="Verdana"/>
          <w:sz w:val="20"/>
          <w:szCs w:val="20"/>
        </w:rPr>
        <w:t>Número del Diario Oficial: 48.436</w:t>
      </w:r>
    </w:p>
    <w:p w14:paraId="00D6E229" w14:textId="77777777" w:rsidR="000B162F" w:rsidRPr="000B162F" w:rsidRDefault="000B162F" w:rsidP="000B162F">
      <w:pPr>
        <w:pStyle w:val="Sinespaciado"/>
        <w:rPr>
          <w:rFonts w:ascii="Verdana" w:hAnsi="Verdana"/>
          <w:sz w:val="20"/>
          <w:szCs w:val="20"/>
        </w:rPr>
      </w:pPr>
    </w:p>
    <w:p w14:paraId="479692C2" w14:textId="77777777" w:rsidR="000B162F" w:rsidRDefault="000B162F" w:rsidP="000B162F">
      <w:pPr>
        <w:pStyle w:val="Sinespaciado"/>
      </w:pPr>
      <w:r w:rsidRPr="000B162F">
        <w:rPr>
          <w:rFonts w:ascii="Verdana" w:hAnsi="Verdana"/>
          <w:sz w:val="20"/>
          <w:szCs w:val="20"/>
        </w:rPr>
        <w:t>Nota: Modificada por la Resolución 5313 de 2012</w:t>
      </w:r>
      <w:r w:rsidRPr="000B162F">
        <w:rPr>
          <w:sz w:val="20"/>
          <w:szCs w:val="20"/>
        </w:rPr>
        <w:t xml:space="preserve"> </w:t>
      </w:r>
      <w:r w:rsidRPr="000B162F">
        <w:tab/>
      </w:r>
    </w:p>
    <w:p w14:paraId="6210803E" w14:textId="77777777" w:rsidR="000B162F" w:rsidRPr="000B162F" w:rsidRDefault="000B162F" w:rsidP="000B162F">
      <w:pPr>
        <w:rPr>
          <w:rFonts w:ascii="Verdana" w:hAnsi="Verdana"/>
          <w:sz w:val="20"/>
          <w:szCs w:val="20"/>
        </w:rPr>
      </w:pPr>
    </w:p>
    <w:p w14:paraId="74213850" w14:textId="310DBB42" w:rsidR="00835C69" w:rsidRPr="00835C69" w:rsidRDefault="00835C69" w:rsidP="00835C69">
      <w:pPr>
        <w:jc w:val="center"/>
        <w:rPr>
          <w:rFonts w:ascii="Verdana" w:hAnsi="Verdana"/>
          <w:b/>
          <w:bCs/>
          <w:sz w:val="22"/>
          <w:szCs w:val="22"/>
        </w:rPr>
      </w:pPr>
      <w:r w:rsidRPr="00835C69">
        <w:rPr>
          <w:rFonts w:ascii="Verdana" w:hAnsi="Verdana"/>
          <w:b/>
          <w:bCs/>
          <w:sz w:val="22"/>
          <w:szCs w:val="22"/>
        </w:rPr>
        <w:t>RESOLUCIÓN 1395 DE 2012</w:t>
      </w:r>
    </w:p>
    <w:p w14:paraId="7D890196" w14:textId="5C207942" w:rsidR="00835C69" w:rsidRPr="00835C69" w:rsidRDefault="00835C69" w:rsidP="00835C69">
      <w:pPr>
        <w:jc w:val="center"/>
        <w:rPr>
          <w:rFonts w:ascii="Verdana" w:hAnsi="Verdana"/>
          <w:b/>
          <w:bCs/>
          <w:sz w:val="22"/>
          <w:szCs w:val="22"/>
        </w:rPr>
      </w:pPr>
      <w:r w:rsidRPr="00835C69">
        <w:rPr>
          <w:rFonts w:ascii="Verdana" w:hAnsi="Verdana"/>
          <w:b/>
          <w:bCs/>
          <w:sz w:val="22"/>
          <w:szCs w:val="22"/>
        </w:rPr>
        <w:t>(17 de abril)</w:t>
      </w:r>
    </w:p>
    <w:p w14:paraId="2E002CBD" w14:textId="47E6E006" w:rsidR="00835C69" w:rsidRPr="00835C69" w:rsidRDefault="00835C69" w:rsidP="00835C69">
      <w:pPr>
        <w:jc w:val="center"/>
        <w:rPr>
          <w:rFonts w:ascii="Verdana" w:hAnsi="Verdana"/>
          <w:b/>
          <w:bCs/>
          <w:sz w:val="22"/>
          <w:szCs w:val="22"/>
        </w:rPr>
      </w:pPr>
      <w:r w:rsidRPr="00835C69">
        <w:rPr>
          <w:rFonts w:ascii="Verdana" w:hAnsi="Verdana"/>
          <w:b/>
          <w:bCs/>
          <w:sz w:val="22"/>
          <w:szCs w:val="22"/>
        </w:rPr>
        <w:t>INSTITUTO COLOMBIANO DE BIENESTAR FAMILIAR</w:t>
      </w:r>
    </w:p>
    <w:p w14:paraId="251F4BFF" w14:textId="58A4A8E9" w:rsidR="00835C69" w:rsidRPr="00835C69" w:rsidRDefault="00835C69" w:rsidP="00835C69">
      <w:pPr>
        <w:jc w:val="center"/>
        <w:rPr>
          <w:rFonts w:ascii="Verdana" w:hAnsi="Verdana"/>
          <w:b/>
          <w:bCs/>
          <w:sz w:val="22"/>
          <w:szCs w:val="22"/>
        </w:rPr>
      </w:pPr>
      <w:r w:rsidRPr="00835C69">
        <w:rPr>
          <w:rFonts w:ascii="Verdana" w:hAnsi="Verdana"/>
          <w:b/>
          <w:bCs/>
          <w:sz w:val="22"/>
          <w:szCs w:val="22"/>
        </w:rPr>
        <w:t>CECILIA DE LA FUENTE DE LLERAS</w:t>
      </w:r>
    </w:p>
    <w:p w14:paraId="44843DEF" w14:textId="74252626" w:rsidR="00835C69" w:rsidRPr="00835C69" w:rsidRDefault="00835C69" w:rsidP="00835C69">
      <w:pPr>
        <w:jc w:val="center"/>
        <w:rPr>
          <w:rFonts w:ascii="Verdana" w:hAnsi="Verdana"/>
          <w:b/>
          <w:bCs/>
          <w:sz w:val="22"/>
          <w:szCs w:val="22"/>
        </w:rPr>
      </w:pPr>
      <w:r w:rsidRPr="00835C69">
        <w:rPr>
          <w:rFonts w:ascii="Verdana" w:hAnsi="Verdana"/>
          <w:b/>
          <w:bCs/>
          <w:sz w:val="22"/>
          <w:szCs w:val="22"/>
        </w:rPr>
        <w:t>DIRECCIÓN GENERAL</w:t>
      </w:r>
    </w:p>
    <w:p w14:paraId="0BA411F7" w14:textId="4E31C1DF" w:rsidR="00835C69" w:rsidRPr="00835C69" w:rsidRDefault="00835C69" w:rsidP="00835C69">
      <w:pPr>
        <w:jc w:val="center"/>
        <w:rPr>
          <w:rFonts w:ascii="Verdana" w:hAnsi="Verdana"/>
          <w:sz w:val="22"/>
          <w:szCs w:val="22"/>
        </w:rPr>
      </w:pPr>
      <w:r>
        <w:rPr>
          <w:rFonts w:ascii="Verdana" w:hAnsi="Verdana"/>
          <w:sz w:val="22"/>
          <w:szCs w:val="22"/>
        </w:rPr>
        <w:t>“</w:t>
      </w:r>
      <w:r w:rsidRPr="00835C69">
        <w:rPr>
          <w:rFonts w:ascii="Verdana" w:hAnsi="Verdana"/>
          <w:sz w:val="22"/>
          <w:szCs w:val="22"/>
        </w:rPr>
        <w:t>Por la cual se modifica el Lineamiento Técnico para las Modalidades de Apoyo y Fortalecimiento a la Familia para el Restablecimiento de Derechos de Niños, Niñas y Adolescentes y Mayores de 18 Años con Discapacidad con sus Derechos Amenazados, Inobservados o Vulnerados, Modalidad de Atención Terapéutica, aprobado mediante Resolución número 6024 de 2010.</w:t>
      </w:r>
      <w:r>
        <w:rPr>
          <w:rFonts w:ascii="Verdana" w:hAnsi="Verdana"/>
          <w:sz w:val="22"/>
          <w:szCs w:val="22"/>
        </w:rPr>
        <w:t>”</w:t>
      </w:r>
    </w:p>
    <w:p w14:paraId="55BF18A2" w14:textId="587A1D99" w:rsidR="00835C69" w:rsidRPr="00835C69" w:rsidRDefault="00835C69" w:rsidP="00835C69">
      <w:pPr>
        <w:jc w:val="center"/>
        <w:rPr>
          <w:rFonts w:ascii="Verdana" w:hAnsi="Verdana"/>
          <w:b/>
          <w:bCs/>
          <w:sz w:val="22"/>
          <w:szCs w:val="22"/>
        </w:rPr>
      </w:pPr>
      <w:r w:rsidRPr="00835C69">
        <w:rPr>
          <w:rFonts w:ascii="Verdana" w:hAnsi="Verdana"/>
          <w:b/>
          <w:bCs/>
          <w:sz w:val="22"/>
          <w:szCs w:val="22"/>
        </w:rPr>
        <w:t>EL DIRECTOR GENERAL DEL INSTITUTO COLOMBIANO DE BIENESTAR FAMILIAR, CECILIA DE LA FUENTE DE LLERAS,</w:t>
      </w:r>
    </w:p>
    <w:p w14:paraId="4DC92612" w14:textId="2A3782A3" w:rsidR="00835C69" w:rsidRPr="00835C69" w:rsidRDefault="00835C69" w:rsidP="00835C69">
      <w:pPr>
        <w:jc w:val="center"/>
        <w:rPr>
          <w:rFonts w:ascii="Verdana" w:hAnsi="Verdana"/>
          <w:sz w:val="22"/>
          <w:szCs w:val="22"/>
        </w:rPr>
      </w:pPr>
      <w:r w:rsidRPr="00835C69">
        <w:rPr>
          <w:rFonts w:ascii="Verdana" w:hAnsi="Verdana"/>
          <w:sz w:val="22"/>
          <w:szCs w:val="22"/>
        </w:rPr>
        <w:t>en uso de las facultades legales y estatutarias establecidas en el artículo 78 de la Ley 489 de 1998, el inciso 2o del artículo 2o del Decreto 117 de 2010 y la Ley 1098 de 2006, y demás normas concordantes y complementarias, y</w:t>
      </w:r>
    </w:p>
    <w:p w14:paraId="38C6616C" w14:textId="77777777" w:rsidR="00835C69" w:rsidRPr="00835C69" w:rsidRDefault="00835C69" w:rsidP="00835C69">
      <w:pPr>
        <w:jc w:val="center"/>
        <w:rPr>
          <w:rFonts w:ascii="Verdana" w:hAnsi="Verdana"/>
          <w:b/>
          <w:bCs/>
          <w:sz w:val="22"/>
          <w:szCs w:val="22"/>
        </w:rPr>
      </w:pPr>
      <w:r w:rsidRPr="00835C69">
        <w:rPr>
          <w:rFonts w:ascii="Verdana" w:hAnsi="Verdana"/>
          <w:b/>
          <w:bCs/>
          <w:sz w:val="22"/>
          <w:szCs w:val="22"/>
        </w:rPr>
        <w:t>CONSIDERANDO:</w:t>
      </w:r>
    </w:p>
    <w:p w14:paraId="28A13A8E" w14:textId="57A8B6A5"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BD76E03" w14:textId="679298E8"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el artículo 44 de la Constitución Política establece los derechos de los niños, niñas y adolescentes y dispone que son de carácter fundamental especial y prevalente.</w:t>
      </w:r>
    </w:p>
    <w:p w14:paraId="52A43A3D" w14:textId="77777777"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el objeto de la Ley 1098 de 2006, por la cual se expide el Código de la Infancia y la Adolescencia es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p>
    <w:p w14:paraId="1B4222BB" w14:textId="29F78A4F"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lastRenderedPageBreak/>
        <w:t>Que el parágrafo del artículo 11 de la Ley 1098 de 2006 estableció que el ICBF “como ente coordinador del Sistema Nacional de Bienestar Familiar, mantendrá todas las funciones que hoy tiene (Ley 75 de 1968 y Ley 7a de 1979) y definirá los Lineamientos Técnicos que las entidades deben cumplir para garantizar derechos de los niños, las niñas y los adolescentes, y para asegurar su restablecimiento (...)”.</w:t>
      </w:r>
    </w:p>
    <w:p w14:paraId="533B29B3" w14:textId="77777777"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el artículo 60 de la Ley 1098 de 2006 dispuso que “cuando un niño, una niña o un adolescente sea víctima de cualquier acto que vulnere sus derechos de protección, de su integridad personal, o sea víctima de un delito, (...) deberán vincularse a un programa de atención especializada que asegure el restablecimiento de sus derechos”.</w:t>
      </w:r>
    </w:p>
    <w:p w14:paraId="1E37690A" w14:textId="102BCB8F"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mediante Resolución número 6024 de 2010 se expidió el Lineamiento Técnico para las Modalidades de Apoyo y Fortalecimiento a la Familia para el Restablecimiento de Derechos de Niños, Niñas y Adolescentes y Mayores de 18 años con Discapacidad con sus Derechos Amenazados, Inobservados o Vulnerados, entre las modalidades aprobadas se encuentra la de Atención Terapéutica y la cual requiere modificación en su forma de operar.</w:t>
      </w:r>
    </w:p>
    <w:p w14:paraId="08DF81A7" w14:textId="79F62535" w:rsidR="00835C69" w:rsidRPr="00835C69" w:rsidRDefault="00835C69" w:rsidP="00835C69">
      <w:pPr>
        <w:pStyle w:val="Prrafodelista"/>
        <w:numPr>
          <w:ilvl w:val="0"/>
          <w:numId w:val="1"/>
        </w:numPr>
        <w:rPr>
          <w:rFonts w:ascii="Verdana" w:hAnsi="Verdana"/>
          <w:sz w:val="22"/>
          <w:szCs w:val="22"/>
        </w:rPr>
      </w:pPr>
      <w:r w:rsidRPr="00835C69">
        <w:rPr>
          <w:rFonts w:ascii="Verdana" w:hAnsi="Verdana"/>
          <w:sz w:val="22"/>
          <w:szCs w:val="22"/>
        </w:rPr>
        <w:t>Que en mérito de lo expuesto,</w:t>
      </w:r>
    </w:p>
    <w:p w14:paraId="4816CF64" w14:textId="01BD996D" w:rsidR="00835C69" w:rsidRPr="00835C69" w:rsidRDefault="00835C69" w:rsidP="00835C69">
      <w:pPr>
        <w:jc w:val="center"/>
        <w:rPr>
          <w:rFonts w:ascii="Verdana" w:hAnsi="Verdana"/>
          <w:b/>
          <w:bCs/>
          <w:sz w:val="22"/>
          <w:szCs w:val="22"/>
        </w:rPr>
      </w:pPr>
      <w:r w:rsidRPr="00835C69">
        <w:rPr>
          <w:rFonts w:ascii="Verdana" w:hAnsi="Verdana"/>
          <w:b/>
          <w:bCs/>
          <w:sz w:val="22"/>
          <w:szCs w:val="22"/>
        </w:rPr>
        <w:t>RESUELVE:</w:t>
      </w:r>
    </w:p>
    <w:p w14:paraId="798CBE49" w14:textId="4907E82F" w:rsidR="00835C69" w:rsidRPr="00835C69" w:rsidRDefault="00835C69" w:rsidP="00835C69">
      <w:pPr>
        <w:rPr>
          <w:rFonts w:ascii="Verdana" w:hAnsi="Verdana"/>
          <w:sz w:val="22"/>
          <w:szCs w:val="22"/>
        </w:rPr>
      </w:pPr>
      <w:r w:rsidRPr="00835C69">
        <w:rPr>
          <w:rFonts w:ascii="Verdana" w:hAnsi="Verdana"/>
          <w:b/>
          <w:bCs/>
          <w:sz w:val="22"/>
          <w:szCs w:val="22"/>
        </w:rPr>
        <w:t>ARTÍCULO 1o.</w:t>
      </w:r>
      <w:r w:rsidRPr="00835C69">
        <w:rPr>
          <w:rFonts w:ascii="Verdana" w:hAnsi="Verdana"/>
          <w:sz w:val="22"/>
          <w:szCs w:val="22"/>
        </w:rPr>
        <w:t xml:space="preserve"> Modificar el Lineamiento Técnico para las Modalidades de Apoyo y Fortalecimiento a la Familia para el Restablecimiento de Derechos de Niños, Niñas y Adolescentes y Mayores de 18 años con Discapacidad con sus Derechos Amenazados, Inobservados o Vulnerados, así:</w:t>
      </w:r>
    </w:p>
    <w:p w14:paraId="19F44C60" w14:textId="17F7DE67" w:rsidR="00835C69" w:rsidRPr="00835C69" w:rsidRDefault="00835C69" w:rsidP="00835C69">
      <w:pPr>
        <w:rPr>
          <w:rFonts w:ascii="Verdana" w:hAnsi="Verdana"/>
          <w:sz w:val="22"/>
          <w:szCs w:val="22"/>
        </w:rPr>
      </w:pPr>
      <w:r w:rsidRPr="00835C69">
        <w:rPr>
          <w:rFonts w:ascii="Verdana" w:hAnsi="Verdana"/>
          <w:sz w:val="22"/>
          <w:szCs w:val="22"/>
        </w:rPr>
        <w:t>2. Modalidad: Atención Terapéutica/2.1.Generalidades de la Modalidad/ Particularidades del Servicio:</w:t>
      </w:r>
    </w:p>
    <w:p w14:paraId="4C22AE14" w14:textId="6F8626A5" w:rsidR="00835C69" w:rsidRPr="00835C69" w:rsidRDefault="00835C69" w:rsidP="00835C69">
      <w:pPr>
        <w:rPr>
          <w:rFonts w:ascii="Verdana" w:hAnsi="Verdana"/>
          <w:sz w:val="22"/>
          <w:szCs w:val="22"/>
        </w:rPr>
      </w:pPr>
      <w:r>
        <w:rPr>
          <w:rFonts w:ascii="Verdana" w:hAnsi="Verdana"/>
          <w:sz w:val="22"/>
          <w:szCs w:val="22"/>
        </w:rPr>
        <w:t>[</w:t>
      </w:r>
      <w:r w:rsidRPr="00835C69">
        <w:rPr>
          <w:rFonts w:ascii="Verdana" w:hAnsi="Verdana"/>
          <w:sz w:val="22"/>
          <w:szCs w:val="22"/>
        </w:rPr>
        <w:t>Texto modificado por el artículo 1 de la Resolución 5313 de 2012.</w:t>
      </w:r>
      <w:r w:rsidR="00D91600">
        <w:rPr>
          <w:rFonts w:ascii="Verdana" w:hAnsi="Verdana"/>
          <w:sz w:val="22"/>
          <w:szCs w:val="22"/>
        </w:rPr>
        <w:t>]</w:t>
      </w:r>
      <w:r w:rsidRPr="00835C69">
        <w:rPr>
          <w:rFonts w:ascii="Verdana" w:hAnsi="Verdana"/>
          <w:sz w:val="22"/>
          <w:szCs w:val="22"/>
        </w:rPr>
        <w:t xml:space="preserve"> </w:t>
      </w:r>
      <w:r w:rsidR="00D91600" w:rsidRPr="00D91600">
        <w:rPr>
          <w:rFonts w:ascii="Verdana" w:hAnsi="Verdana"/>
          <w:sz w:val="22"/>
          <w:szCs w:val="22"/>
        </w:rPr>
        <w:t>a) La Modalidad se desarrolla a través de profesionales en psicología, con especialización en cualquier área de atención a la problemática que tenga la población titular de atención, o con entidades contratadas por el ICBF. La especialización puede ser homologada por una experiencia profesional igual o mayor a 10 años en la atención a la niñez y la familia.</w:t>
      </w:r>
    </w:p>
    <w:p w14:paraId="48DC530B" w14:textId="26218C2C" w:rsidR="00835C69" w:rsidRPr="00835C69" w:rsidRDefault="00835C69" w:rsidP="00835C69">
      <w:pPr>
        <w:rPr>
          <w:rFonts w:ascii="Verdana" w:hAnsi="Verdana"/>
          <w:sz w:val="22"/>
          <w:szCs w:val="22"/>
        </w:rPr>
      </w:pPr>
      <w:r w:rsidRPr="00835C69">
        <w:rPr>
          <w:rFonts w:ascii="Verdana" w:hAnsi="Verdana"/>
          <w:sz w:val="22"/>
          <w:szCs w:val="22"/>
        </w:rPr>
        <w:t>d) Se requiere un mínimo de cuatro (4) sesiones al mes con cada niño, niña o adolescente y miembros de familia o red vincular de apoyo”.</w:t>
      </w:r>
    </w:p>
    <w:p w14:paraId="63247F2D" w14:textId="2577B61F" w:rsidR="00835C69" w:rsidRPr="00835C69" w:rsidRDefault="00835C69" w:rsidP="00835C69">
      <w:pPr>
        <w:rPr>
          <w:rFonts w:ascii="Verdana" w:hAnsi="Verdana"/>
          <w:sz w:val="22"/>
          <w:szCs w:val="22"/>
        </w:rPr>
      </w:pPr>
      <w:r w:rsidRPr="00835C69">
        <w:rPr>
          <w:rFonts w:ascii="Verdana" w:hAnsi="Verdana"/>
          <w:sz w:val="22"/>
          <w:szCs w:val="22"/>
        </w:rPr>
        <w:t>2.3. Servicio Esperado “e) Elaborar y registrar los informes de la evaluación del proceso de atención, así: Plan de Atención Integral, a los 30 días de haber ingresado a la Modalidad, el Informe de Evolución del Proceso de Atención, a los tres (3) meses de haber formulado el Plan de Atención Integral y cada tres (3) meses y el Informe del Resultado del Proceso de Atención, al momento del Egreso. Estos informes se registran en formatos elaborados por el Operador.”</w:t>
      </w:r>
    </w:p>
    <w:p w14:paraId="6903DA5E" w14:textId="3138CDFF" w:rsidR="00835C69" w:rsidRPr="00835C69" w:rsidRDefault="00835C69" w:rsidP="00835C69">
      <w:pPr>
        <w:rPr>
          <w:rFonts w:ascii="Verdana" w:hAnsi="Verdana"/>
          <w:sz w:val="22"/>
          <w:szCs w:val="22"/>
        </w:rPr>
      </w:pPr>
      <w:r w:rsidRPr="00835C69">
        <w:rPr>
          <w:rFonts w:ascii="Verdana" w:hAnsi="Verdana"/>
          <w:sz w:val="22"/>
          <w:szCs w:val="22"/>
        </w:rPr>
        <w:t xml:space="preserve">2.4. Especificidades del Servicio, Permanencia: “La permanencia en el servicio está sujeta al cumplimiento de objetivos particulares de atención, por ello, podrán reducirse o prolongarse los lapsos de permanencia para desarrollar procesos de atención de menor o mayor complejidad, respectivamente, sin </w:t>
      </w:r>
      <w:r w:rsidRPr="00835C69">
        <w:rPr>
          <w:rFonts w:ascii="Verdana" w:hAnsi="Verdana"/>
          <w:sz w:val="22"/>
          <w:szCs w:val="22"/>
        </w:rPr>
        <w:lastRenderedPageBreak/>
        <w:t>embargo como estándar se define una permanencia de seis (6) meses en el servicio para cada caso, cuando se supere este término, deberá realizarse un estudio del caso particular entre la Defensoría de Familia y la Institución Operadora”.</w:t>
      </w:r>
    </w:p>
    <w:p w14:paraId="69646AEE" w14:textId="4F633288" w:rsidR="00835C69" w:rsidRPr="00835C69" w:rsidRDefault="00835C69" w:rsidP="00835C69">
      <w:pPr>
        <w:rPr>
          <w:rFonts w:ascii="Verdana" w:hAnsi="Verdana"/>
          <w:sz w:val="22"/>
          <w:szCs w:val="22"/>
        </w:rPr>
      </w:pPr>
      <w:r w:rsidRPr="00D91600">
        <w:rPr>
          <w:rFonts w:ascii="Verdana" w:hAnsi="Verdana"/>
          <w:b/>
          <w:bCs/>
          <w:sz w:val="22"/>
          <w:szCs w:val="22"/>
        </w:rPr>
        <w:t>ARTÍCULO 2o.</w:t>
      </w:r>
      <w:r w:rsidRPr="00835C69">
        <w:rPr>
          <w:rFonts w:ascii="Verdana" w:hAnsi="Verdana"/>
          <w:sz w:val="22"/>
          <w:szCs w:val="22"/>
        </w:rPr>
        <w:t xml:space="preserve"> Los Directores Regionales, Coordinadores de Protección, Coordinadores de Asistencia Técnica y demás servidores públicos capacitados en los Centros Zonales, deberán adoptar las medidas a que haya lugar para el cumplimiento y difusión de esta resolución.</w:t>
      </w:r>
    </w:p>
    <w:p w14:paraId="12027A34" w14:textId="1813ABBF" w:rsidR="00835C69" w:rsidRPr="00835C69" w:rsidRDefault="00835C69" w:rsidP="00835C69">
      <w:pPr>
        <w:rPr>
          <w:rFonts w:ascii="Verdana" w:hAnsi="Verdana"/>
          <w:sz w:val="22"/>
          <w:szCs w:val="22"/>
        </w:rPr>
      </w:pPr>
      <w:r w:rsidRPr="00D91600">
        <w:rPr>
          <w:rFonts w:ascii="Verdana" w:hAnsi="Verdana"/>
          <w:b/>
          <w:bCs/>
          <w:sz w:val="22"/>
          <w:szCs w:val="22"/>
        </w:rPr>
        <w:t>ARTÍCULO 3o. VIGENCIA Y DEROGACIONES.</w:t>
      </w:r>
      <w:r w:rsidRPr="00835C69">
        <w:rPr>
          <w:rFonts w:ascii="Verdana" w:hAnsi="Verdana"/>
          <w:sz w:val="22"/>
          <w:szCs w:val="22"/>
        </w:rPr>
        <w:t xml:space="preserve"> </w:t>
      </w:r>
      <w:r>
        <w:rPr>
          <w:rFonts w:ascii="Verdana" w:hAnsi="Verdana"/>
          <w:sz w:val="22"/>
          <w:szCs w:val="22"/>
        </w:rPr>
        <w:t>[</w:t>
      </w:r>
      <w:r w:rsidRPr="00835C69">
        <w:rPr>
          <w:rFonts w:ascii="Verdana" w:hAnsi="Verdana"/>
          <w:sz w:val="22"/>
          <w:szCs w:val="22"/>
        </w:rPr>
        <w:t>Resolución derogada por el artículo 6 de la Resolución 1520 de 2016</w:t>
      </w:r>
      <w:r>
        <w:rPr>
          <w:rFonts w:ascii="Verdana" w:hAnsi="Verdana"/>
          <w:sz w:val="22"/>
          <w:szCs w:val="22"/>
        </w:rPr>
        <w:t>]</w:t>
      </w:r>
      <w:r w:rsidRPr="00835C69">
        <w:rPr>
          <w:rFonts w:ascii="Verdana" w:hAnsi="Verdana"/>
          <w:sz w:val="22"/>
          <w:szCs w:val="22"/>
        </w:rPr>
        <w:t xml:space="preserve"> La presente resolución rige a partir de su publicación y deroga a todas aquellas que le sean contrarias.</w:t>
      </w:r>
    </w:p>
    <w:p w14:paraId="7CAE7C03" w14:textId="37428FE9" w:rsidR="00835C69" w:rsidRPr="00D91600" w:rsidRDefault="00D91600" w:rsidP="00D2705C">
      <w:pPr>
        <w:jc w:val="center"/>
        <w:rPr>
          <w:rFonts w:ascii="Verdana" w:hAnsi="Verdana"/>
          <w:b/>
          <w:bCs/>
          <w:sz w:val="22"/>
          <w:szCs w:val="22"/>
        </w:rPr>
      </w:pPr>
      <w:r w:rsidRPr="00D91600">
        <w:rPr>
          <w:rFonts w:ascii="Verdana" w:hAnsi="Verdana"/>
          <w:b/>
          <w:bCs/>
          <w:sz w:val="22"/>
          <w:szCs w:val="22"/>
        </w:rPr>
        <w:t>PUBLÍQUESE, COMUNÍQUESE Y CÚMPLASE,</w:t>
      </w:r>
    </w:p>
    <w:p w14:paraId="27FA1908" w14:textId="6784FB82" w:rsidR="00835C69" w:rsidRPr="00835C69" w:rsidRDefault="00835C69" w:rsidP="00D2705C">
      <w:pPr>
        <w:jc w:val="center"/>
        <w:rPr>
          <w:rFonts w:ascii="Verdana" w:hAnsi="Verdana"/>
          <w:sz w:val="22"/>
          <w:szCs w:val="22"/>
        </w:rPr>
      </w:pPr>
      <w:r w:rsidRPr="00835C69">
        <w:rPr>
          <w:rFonts w:ascii="Verdana" w:hAnsi="Verdana"/>
          <w:sz w:val="22"/>
          <w:szCs w:val="22"/>
        </w:rPr>
        <w:t>Dada en Bogotá, D. C., a</w:t>
      </w:r>
      <w:r w:rsidR="00D91600">
        <w:rPr>
          <w:rFonts w:ascii="Verdana" w:hAnsi="Verdana"/>
          <w:sz w:val="22"/>
          <w:szCs w:val="22"/>
        </w:rPr>
        <w:t xml:space="preserve"> los</w:t>
      </w:r>
      <w:r w:rsidRPr="00835C69">
        <w:rPr>
          <w:rFonts w:ascii="Verdana" w:hAnsi="Verdana"/>
          <w:sz w:val="22"/>
          <w:szCs w:val="22"/>
        </w:rPr>
        <w:t xml:space="preserve"> 17 </w:t>
      </w:r>
      <w:r w:rsidR="00D91600">
        <w:rPr>
          <w:rFonts w:ascii="Verdana" w:hAnsi="Verdana"/>
          <w:sz w:val="22"/>
          <w:szCs w:val="22"/>
        </w:rPr>
        <w:t xml:space="preserve">días del mes </w:t>
      </w:r>
      <w:r w:rsidRPr="00835C69">
        <w:rPr>
          <w:rFonts w:ascii="Verdana" w:hAnsi="Verdana"/>
          <w:sz w:val="22"/>
          <w:szCs w:val="22"/>
        </w:rPr>
        <w:t>de abril de 2012.</w:t>
      </w:r>
    </w:p>
    <w:p w14:paraId="3A7E58C9" w14:textId="77777777" w:rsidR="00D91600" w:rsidRPr="00D2705C" w:rsidRDefault="00D91600" w:rsidP="00D2705C">
      <w:pPr>
        <w:jc w:val="center"/>
        <w:rPr>
          <w:rFonts w:ascii="Verdana" w:hAnsi="Verdana"/>
          <w:b/>
          <w:bCs/>
          <w:sz w:val="22"/>
          <w:szCs w:val="22"/>
        </w:rPr>
      </w:pPr>
      <w:r w:rsidRPr="00D2705C">
        <w:rPr>
          <w:rFonts w:ascii="Verdana" w:hAnsi="Verdana"/>
          <w:b/>
          <w:bCs/>
          <w:sz w:val="22"/>
          <w:szCs w:val="22"/>
        </w:rPr>
        <w:t>DIEGO ANDRÉS MOLANO APONTE</w:t>
      </w:r>
    </w:p>
    <w:p w14:paraId="409F1DC6" w14:textId="2639D34F" w:rsidR="00835C69" w:rsidRPr="00835C69" w:rsidRDefault="00D91600" w:rsidP="00D2705C">
      <w:pPr>
        <w:jc w:val="center"/>
        <w:rPr>
          <w:rFonts w:ascii="Verdana" w:hAnsi="Verdana"/>
          <w:sz w:val="22"/>
          <w:szCs w:val="22"/>
        </w:rPr>
      </w:pPr>
      <w:r w:rsidRPr="00835C69">
        <w:rPr>
          <w:rFonts w:ascii="Verdana" w:hAnsi="Verdana"/>
          <w:sz w:val="22"/>
          <w:szCs w:val="22"/>
        </w:rPr>
        <w:t>EL DIRECTOR GENERAL</w:t>
      </w:r>
    </w:p>
    <w:p w14:paraId="334614EA" w14:textId="77777777" w:rsidR="00835C69" w:rsidRPr="00835C69" w:rsidRDefault="00835C69" w:rsidP="00835C69">
      <w:pPr>
        <w:rPr>
          <w:rFonts w:ascii="Verdana" w:hAnsi="Verdana"/>
          <w:sz w:val="22"/>
          <w:szCs w:val="22"/>
        </w:rPr>
      </w:pPr>
    </w:p>
    <w:p w14:paraId="7D4C6486" w14:textId="77777777" w:rsidR="00D91600" w:rsidRPr="00835C69" w:rsidRDefault="00D91600">
      <w:pPr>
        <w:rPr>
          <w:rFonts w:ascii="Verdana" w:hAnsi="Verdana"/>
          <w:sz w:val="22"/>
          <w:szCs w:val="22"/>
        </w:rPr>
      </w:pPr>
    </w:p>
    <w:sectPr w:rsidR="00D91600" w:rsidRPr="00835C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83DB4"/>
    <w:multiLevelType w:val="hybridMultilevel"/>
    <w:tmpl w:val="B57CD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641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F"/>
    <w:rsid w:val="00015D2A"/>
    <w:rsid w:val="000B162F"/>
    <w:rsid w:val="003F7E1F"/>
    <w:rsid w:val="004639CE"/>
    <w:rsid w:val="00490B89"/>
    <w:rsid w:val="00550F5C"/>
    <w:rsid w:val="00756019"/>
    <w:rsid w:val="00835C69"/>
    <w:rsid w:val="0088588F"/>
    <w:rsid w:val="008B060D"/>
    <w:rsid w:val="00D2705C"/>
    <w:rsid w:val="00D91600"/>
    <w:rsid w:val="35A7335F"/>
    <w:rsid w:val="5CF165A8"/>
    <w:rsid w:val="68A58C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30EA"/>
  <w15:chartTrackingRefBased/>
  <w15:docId w15:val="{16623A3C-F6CA-4034-B4EC-DC794738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69"/>
  </w:style>
  <w:style w:type="paragraph" w:styleId="Ttulo1">
    <w:name w:val="heading 1"/>
    <w:basedOn w:val="Normal"/>
    <w:next w:val="Normal"/>
    <w:link w:val="Ttulo1Car"/>
    <w:uiPriority w:val="9"/>
    <w:qFormat/>
    <w:rsid w:val="003F7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E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E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F7E1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F7E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F7E1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F7E1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F7E1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E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7E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7E1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7E1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F7E1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F7E1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F7E1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F7E1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F7E1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F7E1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E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7E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E1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F7E1F"/>
    <w:pPr>
      <w:spacing w:before="160"/>
      <w:jc w:val="center"/>
    </w:pPr>
    <w:rPr>
      <w:i/>
      <w:iCs/>
      <w:color w:val="404040" w:themeColor="text1" w:themeTint="BF"/>
    </w:rPr>
  </w:style>
  <w:style w:type="character" w:customStyle="1" w:styleId="CitaCar">
    <w:name w:val="Cita Car"/>
    <w:basedOn w:val="Fuentedeprrafopredeter"/>
    <w:link w:val="Cita"/>
    <w:uiPriority w:val="29"/>
    <w:rsid w:val="003F7E1F"/>
    <w:rPr>
      <w:i/>
      <w:iCs/>
      <w:color w:val="404040" w:themeColor="text1" w:themeTint="BF"/>
    </w:rPr>
  </w:style>
  <w:style w:type="paragraph" w:styleId="Prrafodelista">
    <w:name w:val="List Paragraph"/>
    <w:basedOn w:val="Normal"/>
    <w:uiPriority w:val="34"/>
    <w:qFormat/>
    <w:rsid w:val="003F7E1F"/>
    <w:pPr>
      <w:ind w:left="720"/>
      <w:contextualSpacing/>
    </w:pPr>
  </w:style>
  <w:style w:type="character" w:styleId="nfasisintenso">
    <w:name w:val="Intense Emphasis"/>
    <w:basedOn w:val="Fuentedeprrafopredeter"/>
    <w:uiPriority w:val="21"/>
    <w:qFormat/>
    <w:rsid w:val="003F7E1F"/>
    <w:rPr>
      <w:i/>
      <w:iCs/>
      <w:color w:val="0F4761" w:themeColor="accent1" w:themeShade="BF"/>
    </w:rPr>
  </w:style>
  <w:style w:type="paragraph" w:styleId="Citadestacada">
    <w:name w:val="Intense Quote"/>
    <w:basedOn w:val="Normal"/>
    <w:next w:val="Normal"/>
    <w:link w:val="CitadestacadaCar"/>
    <w:uiPriority w:val="30"/>
    <w:qFormat/>
    <w:rsid w:val="003F7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E1F"/>
    <w:rPr>
      <w:i/>
      <w:iCs/>
      <w:color w:val="0F4761" w:themeColor="accent1" w:themeShade="BF"/>
    </w:rPr>
  </w:style>
  <w:style w:type="character" w:styleId="Referenciaintensa">
    <w:name w:val="Intense Reference"/>
    <w:basedOn w:val="Fuentedeprrafopredeter"/>
    <w:uiPriority w:val="32"/>
    <w:qFormat/>
    <w:rsid w:val="003F7E1F"/>
    <w:rPr>
      <w:b/>
      <w:bCs/>
      <w:smallCaps/>
      <w:color w:val="0F4761" w:themeColor="accent1" w:themeShade="BF"/>
      <w:spacing w:val="5"/>
    </w:rPr>
  </w:style>
  <w:style w:type="table" w:styleId="Tablaconcuadrcula">
    <w:name w:val="Table Grid"/>
    <w:basedOn w:val="Tablanormal"/>
    <w:uiPriority w:val="39"/>
    <w:rsid w:val="00835C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B162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44A6F-62E2-46F6-828C-30561CA5B4A1}"/>
</file>

<file path=customXml/itemProps2.xml><?xml version="1.0" encoding="utf-8"?>
<ds:datastoreItem xmlns:ds="http://schemas.openxmlformats.org/officeDocument/2006/customXml" ds:itemID="{D5B8CFB4-8AD9-415F-9991-F2C5B09194C7}"/>
</file>

<file path=customXml/itemProps3.xml><?xml version="1.0" encoding="utf-8"?>
<ds:datastoreItem xmlns:ds="http://schemas.openxmlformats.org/officeDocument/2006/customXml" ds:itemID="{F80FEFEE-94C6-420C-BEAF-542A855B3E95}"/>
</file>

<file path=docProps/app.xml><?xml version="1.0" encoding="utf-8"?>
<Properties xmlns="http://schemas.openxmlformats.org/officeDocument/2006/extended-properties" xmlns:vt="http://schemas.openxmlformats.org/officeDocument/2006/docPropsVTypes">
  <Template>Normal</Template>
  <TotalTime>1</TotalTime>
  <Pages>1</Pages>
  <Words>962</Words>
  <Characters>4960</Characters>
  <Application>Microsoft Office Word</Application>
  <DocSecurity>0</DocSecurity>
  <Lines>103</Lines>
  <Paragraphs>41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2025-12-16T16:41:00Z</dcterms:created>
  <dcterms:modified xsi:type="dcterms:W3CDTF">2026-01-24T16:39:00Z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