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ED9EA" w14:textId="77777777" w:rsidR="00FE2E25" w:rsidRDefault="009E03C3">
      <w:pPr>
        <w:spacing w:after="160" w:line="240" w:lineRule="auto"/>
        <w:jc w:val="center"/>
        <w:rPr>
          <w:rFonts w:ascii="Verdana" w:eastAsia="Verdana" w:hAnsi="Verdana" w:cs="Verdana"/>
          <w:b/>
          <w:bCs/>
        </w:rPr>
      </w:pPr>
      <w:r>
        <w:rPr>
          <w:rFonts w:ascii="Verdana" w:eastAsia="Verdana" w:hAnsi="Verdana" w:cs="Verdana"/>
          <w:b/>
          <w:bCs/>
        </w:rPr>
        <w:t>RESOLUCIÓN 1391 DE 2014</w:t>
      </w:r>
    </w:p>
    <w:p w14:paraId="27103C3B" w14:textId="77777777" w:rsidR="00CD6D52" w:rsidRPr="00CD6D52" w:rsidRDefault="00CD6D52" w:rsidP="00CD6D52">
      <w:pPr>
        <w:pStyle w:val="Sinespaciado"/>
      </w:pPr>
      <w:bookmarkStart w:id="0" w:name="_gkik43155102" w:colFirst="0" w:colLast="0"/>
      <w:bookmarkEnd w:id="0"/>
    </w:p>
    <w:p w14:paraId="4995F482" w14:textId="77777777" w:rsidR="00CD6D52" w:rsidRDefault="00CD6D52" w:rsidP="00CD6D52">
      <w:pPr>
        <w:pStyle w:val="Sinespaciado"/>
      </w:pPr>
      <w:r>
        <w:t>Fecha de Expedición: 7 de marzo de 2014</w:t>
      </w:r>
    </w:p>
    <w:p w14:paraId="18D20DC0" w14:textId="77777777" w:rsidR="00CD6D52" w:rsidRDefault="00CD6D52" w:rsidP="00CD6D52">
      <w:pPr>
        <w:pStyle w:val="Sinespaciado"/>
      </w:pPr>
      <w:r>
        <w:t>Fecha de entrada en vigencia: 7 de marzo de 2014</w:t>
      </w:r>
    </w:p>
    <w:p w14:paraId="4D662F27" w14:textId="77777777" w:rsidR="00CD6D52" w:rsidRDefault="00CD6D52" w:rsidP="00CD6D52">
      <w:pPr>
        <w:pStyle w:val="Sinespaciado"/>
      </w:pPr>
      <w:r>
        <w:t>Estado de la vigencia: Vigente</w:t>
      </w:r>
    </w:p>
    <w:p w14:paraId="56E663EC" w14:textId="77777777" w:rsidR="00CD6D52" w:rsidRDefault="00CD6D52" w:rsidP="00CD6D52">
      <w:pPr>
        <w:pStyle w:val="Sinespaciado"/>
      </w:pPr>
    </w:p>
    <w:p w14:paraId="642BD20B" w14:textId="337627EC" w:rsidR="00CD6D52" w:rsidRDefault="00CD6D52" w:rsidP="00CD6D52">
      <w:pPr>
        <w:pStyle w:val="Sinespaciado"/>
      </w:pPr>
      <w:r>
        <w:t>Fecha de publicación en Diario Oficial: 3 de mayo de 2014</w:t>
      </w:r>
    </w:p>
    <w:p w14:paraId="62B0A2C7" w14:textId="0025D8E6" w:rsidR="00CD6D52" w:rsidRDefault="00CD6D52" w:rsidP="00CD6D52">
      <w:pPr>
        <w:pStyle w:val="Sinespaciado"/>
      </w:pPr>
      <w:r>
        <w:t>Número del Diario Oficial:  49.140</w:t>
      </w:r>
    </w:p>
    <w:p w14:paraId="531EEB53" w14:textId="77777777" w:rsidR="00CD6D52" w:rsidRPr="00CD6D52" w:rsidRDefault="00CD6D52" w:rsidP="00CD6D52">
      <w:pPr>
        <w:pStyle w:val="Sinespaciado"/>
      </w:pPr>
    </w:p>
    <w:p w14:paraId="03060F89" w14:textId="64927C1F"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1391 DE 2014</w:t>
      </w:r>
    </w:p>
    <w:p w14:paraId="1A8EB7D7"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w:t>
      </w:r>
    </w:p>
    <w:p w14:paraId="702F6801"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CECILIA DE LA FUENTE DE LLERAS</w:t>
      </w:r>
    </w:p>
    <w:p w14:paraId="65B5E858"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DIRECCIÓN GENERAL</w:t>
      </w:r>
    </w:p>
    <w:p w14:paraId="0E9F6D16" w14:textId="77777777" w:rsidR="00FE2E25" w:rsidRDefault="009E03C3">
      <w:pPr>
        <w:shd w:val="clear" w:color="auto" w:fill="FFFFFF"/>
        <w:spacing w:after="240" w:line="240" w:lineRule="auto"/>
        <w:jc w:val="center"/>
        <w:rPr>
          <w:rFonts w:ascii="Verdana" w:eastAsia="Verdana" w:hAnsi="Verdana" w:cs="Verdana"/>
        </w:rPr>
      </w:pPr>
      <w:r>
        <w:rPr>
          <w:rFonts w:ascii="Verdana" w:eastAsia="Verdana" w:hAnsi="Verdana" w:cs="Verdana"/>
        </w:rPr>
        <w:t>Por la cual se actualiza el Plan de Enajenación Onerosa del ICBF.</w:t>
      </w:r>
    </w:p>
    <w:p w14:paraId="152894CD"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50E12B9A" w14:textId="6C283A4C" w:rsidR="00FE2E25" w:rsidRDefault="009E03C3">
      <w:pPr>
        <w:shd w:val="clear" w:color="auto" w:fill="FFFFFF"/>
        <w:spacing w:after="240" w:line="240" w:lineRule="auto"/>
        <w:jc w:val="center"/>
        <w:rPr>
          <w:rFonts w:ascii="Verdana" w:eastAsia="Verdana" w:hAnsi="Verdana" w:cs="Verdana"/>
        </w:rPr>
      </w:pPr>
      <w:r>
        <w:rPr>
          <w:rFonts w:ascii="Verdana" w:eastAsia="Verdana" w:hAnsi="Verdana" w:cs="Verdana"/>
        </w:rPr>
        <w:t xml:space="preserve">en uso de sus facultades legales y estatutarias, en especial las contenidas por los artículos </w:t>
      </w:r>
      <w:r w:rsidR="00FE2E25">
        <w:rPr>
          <w:rFonts w:ascii="Verdana" w:eastAsia="Verdana" w:hAnsi="Verdana" w:cs="Verdana"/>
        </w:rPr>
        <w:t>62</w:t>
      </w:r>
      <w:r>
        <w:rPr>
          <w:rFonts w:ascii="Verdana" w:eastAsia="Verdana" w:hAnsi="Verdana" w:cs="Verdana"/>
        </w:rPr>
        <w:t xml:space="preserve"> y </w:t>
      </w:r>
      <w:r w:rsidR="00FE2E25">
        <w:rPr>
          <w:rFonts w:ascii="Verdana" w:eastAsia="Verdana" w:hAnsi="Verdana" w:cs="Verdana"/>
        </w:rPr>
        <w:t>66</w:t>
      </w:r>
      <w:r>
        <w:rPr>
          <w:rFonts w:ascii="Verdana" w:eastAsia="Verdana" w:hAnsi="Verdana" w:cs="Verdana"/>
        </w:rPr>
        <w:t xml:space="preserve"> de la Ley 75 de 1968, </w:t>
      </w:r>
      <w:r w:rsidR="00FE2E25">
        <w:rPr>
          <w:rFonts w:ascii="Verdana" w:eastAsia="Verdana" w:hAnsi="Verdana" w:cs="Verdana"/>
        </w:rPr>
        <w:t>39</w:t>
      </w:r>
      <w:r>
        <w:rPr>
          <w:rFonts w:ascii="Verdana" w:eastAsia="Verdana" w:hAnsi="Verdana" w:cs="Verdana"/>
        </w:rPr>
        <w:t xml:space="preserve"> de la Ley 7ª de 1979 y </w:t>
      </w:r>
      <w:r w:rsidR="00FE2E25">
        <w:rPr>
          <w:rFonts w:ascii="Verdana" w:eastAsia="Verdana" w:hAnsi="Verdana" w:cs="Verdana"/>
        </w:rPr>
        <w:t>8</w:t>
      </w:r>
      <w:r>
        <w:rPr>
          <w:rFonts w:ascii="Verdana" w:eastAsia="Verdana" w:hAnsi="Verdana" w:cs="Verdana"/>
        </w:rPr>
        <w:t>o de la Ley 708 de 2001, y el Decreto número 4054 de 2011,</w:t>
      </w:r>
    </w:p>
    <w:p w14:paraId="69529673"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20629C03" w14:textId="3D2FD7F8"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t xml:space="preserve">Que los artículos </w:t>
      </w:r>
      <w:r w:rsidR="00FE2E25">
        <w:rPr>
          <w:rFonts w:ascii="Verdana" w:eastAsia="Verdana" w:hAnsi="Verdana" w:cs="Verdana"/>
        </w:rPr>
        <w:t>62</w:t>
      </w:r>
      <w:r>
        <w:rPr>
          <w:rFonts w:ascii="Verdana" w:eastAsia="Verdana" w:hAnsi="Verdana" w:cs="Verdana"/>
        </w:rPr>
        <w:t xml:space="preserve"> y </w:t>
      </w:r>
      <w:r w:rsidR="00FE2E25">
        <w:rPr>
          <w:rFonts w:ascii="Verdana" w:eastAsia="Verdana" w:hAnsi="Verdana" w:cs="Verdana"/>
        </w:rPr>
        <w:t>66</w:t>
      </w:r>
      <w:r>
        <w:rPr>
          <w:rFonts w:ascii="Verdana" w:eastAsia="Verdana" w:hAnsi="Verdana" w:cs="Verdana"/>
        </w:rPr>
        <w:t xml:space="preserve"> de la Ley 75 de 1968 y </w:t>
      </w:r>
      <w:r w:rsidR="00FE2E25">
        <w:rPr>
          <w:rFonts w:ascii="Verdana" w:eastAsia="Verdana" w:hAnsi="Verdana" w:cs="Verdana"/>
        </w:rPr>
        <w:t>39</w:t>
      </w:r>
      <w:r>
        <w:rPr>
          <w:rFonts w:ascii="Verdana" w:eastAsia="Verdana" w:hAnsi="Verdana" w:cs="Verdana"/>
        </w:rPr>
        <w:t xml:space="preserve"> de la Ley 7ª de 1979 determinan que el ICBF es el heredero del quinto orden sucesoral y destinatario de los bienes que se declaren como vacantes o mostrencos. Los bienes inmuebles de propiedad del ICBF recibidos en desarrollo de estas normas, por no estar sometidos a la obligación de oferta de donación a favor de otras entidades públicas, deben enajenarse para ingresar a su patrimonio el producido de las respectivas ventas;</w:t>
      </w:r>
    </w:p>
    <w:p w14:paraId="0207D797" w14:textId="4FD63076"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w:t>
      </w:r>
      <w:r w:rsidR="00FE2E25">
        <w:rPr>
          <w:rFonts w:ascii="Verdana" w:eastAsia="Verdana" w:hAnsi="Verdana" w:cs="Verdana"/>
        </w:rPr>
        <w:t>33</w:t>
      </w:r>
      <w:r>
        <w:rPr>
          <w:rFonts w:ascii="Verdana" w:eastAsia="Verdana" w:hAnsi="Verdana" w:cs="Verdana"/>
          <w:vertAlign w:val="subscript"/>
        </w:rPr>
        <w:t>[3]</w:t>
      </w:r>
      <w:r>
        <w:rPr>
          <w:rFonts w:ascii="Verdana" w:eastAsia="Verdana" w:hAnsi="Verdana" w:cs="Verdana"/>
        </w:rPr>
        <w:t xml:space="preserve"> de la Ley 9ª de 1989 dispuso que las Entidades Públicas que hayan adquirido bienes a cualquier título deberán aplicarlos a los fines para los cuales fueron adquiridos o en su defecto enajenarlos;</w:t>
      </w:r>
    </w:p>
    <w:p w14:paraId="01E66DB0" w14:textId="77777777"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lastRenderedPageBreak/>
        <w:t>Que el Instituto debe promover la venta de los inmuebles que no necesita para su uso, cualquiera que haya sido el título o modo de adquisición, por lo que mediante la Resolución número 783 de 2007 adoptó su Plan de Enajenación Onerosa, el cual ha sido actualizado bimestralmente, de conformidad con lo dispuesto por el artículo 21 del Decreto número 4054 de 2011;</w:t>
      </w:r>
    </w:p>
    <w:p w14:paraId="000AA467" w14:textId="2ED047C8"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Resolución número </w:t>
      </w:r>
      <w:r w:rsidR="00FE2E25">
        <w:rPr>
          <w:rFonts w:ascii="Verdana" w:eastAsia="Verdana" w:hAnsi="Verdana" w:cs="Verdana"/>
        </w:rPr>
        <w:t>8825</w:t>
      </w:r>
      <w:r>
        <w:rPr>
          <w:rFonts w:ascii="Verdana" w:eastAsia="Verdana" w:hAnsi="Verdana" w:cs="Verdana"/>
        </w:rPr>
        <w:t xml:space="preserve"> de 2013, se actualizó el Plan de Enajenación Onerosa del ICBF y se le adicionaron bienes inmuebles al Plan contenido en la Resolución número </w:t>
      </w:r>
      <w:r w:rsidR="00FE2E25">
        <w:rPr>
          <w:rFonts w:ascii="Verdana" w:eastAsia="Verdana" w:hAnsi="Verdana" w:cs="Verdana"/>
        </w:rPr>
        <w:t>7999</w:t>
      </w:r>
      <w:r>
        <w:rPr>
          <w:rFonts w:ascii="Verdana" w:eastAsia="Verdana" w:hAnsi="Verdana" w:cs="Verdana"/>
        </w:rPr>
        <w:t xml:space="preserve"> de 2013;</w:t>
      </w:r>
    </w:p>
    <w:p w14:paraId="3351B504" w14:textId="4B743B61"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t>Que de acuerdo con el inciso 2o del artículo 21 del Decreto número 4054 de 2011, la entidad identificará los activos inmobiliarios que no sean requeridos para el ejercicio de sus funciones, excluyendo aquellos que: (i) estén ubicados en zonas declaradas de alto riesgo no mitigable, identificadas en el Plan de Ordenamiento Territorial y en los instrumentos que lo desarrollen o complementen, o en aquellas que de acuerdo a estudios geotécnicos que en cualquier momento adopte la Administración Municipal, Distri</w:t>
      </w:r>
      <w:r>
        <w:rPr>
          <w:rFonts w:ascii="Verdana" w:eastAsia="Verdana" w:hAnsi="Verdana" w:cs="Verdana"/>
        </w:rPr>
        <w:t>tal o el Departamento Archipiélago de San Andrés, Providencia y Santa Catalina; (ii) no sean aptos para la construcción y los que estén ubicados en zonas de cantera que hayan sufrido grave deterioro físico; (iii) tengan la naturaleza de bienes inmuebles fiscales con vocación para la construcción de vivienda de interés social urbana o rural, los cuales deben ser reportados al Ministerio de Vivienda, Ciudad y Territorio, o al Ministerio de Agricultura y Desarrollo Rural, siempre que se cumpla con lo estableci</w:t>
      </w:r>
      <w:r>
        <w:rPr>
          <w:rFonts w:ascii="Verdana" w:eastAsia="Verdana" w:hAnsi="Verdana" w:cs="Verdana"/>
        </w:rPr>
        <w:t xml:space="preserve">do en el artículo 1o del Decreto número 3111 de 2004 y el artículo 1o del Decreto número 724 de 2002, o (iv) los contemplados en el inciso 1o del artículo </w:t>
      </w:r>
      <w:r w:rsidR="00FE2E25">
        <w:rPr>
          <w:rFonts w:ascii="Verdana" w:eastAsia="Verdana" w:hAnsi="Verdana" w:cs="Verdana"/>
        </w:rPr>
        <w:t>1</w:t>
      </w:r>
      <w:r>
        <w:rPr>
          <w:rFonts w:ascii="Verdana" w:eastAsia="Verdana" w:hAnsi="Verdana" w:cs="Verdana"/>
        </w:rPr>
        <w:t>o de la Ley 708 de 2001;</w:t>
      </w:r>
    </w:p>
    <w:p w14:paraId="609A361B" w14:textId="77777777"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t>Que el Comité de Bienes de la Sede de la Dirección General en sesión del 3 de diciembre de 2013 recomendó la inclusión de un inmueble en el Plan de Enajenación Onerosa por el avalúo comercial del mismo, el cual se describe a continuación:</w:t>
      </w:r>
    </w:p>
    <w:tbl>
      <w:tblPr>
        <w:tblStyle w:val="a0"/>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1035"/>
        <w:gridCol w:w="1125"/>
        <w:gridCol w:w="990"/>
        <w:gridCol w:w="1245"/>
        <w:gridCol w:w="1080"/>
        <w:gridCol w:w="1245"/>
        <w:gridCol w:w="1020"/>
      </w:tblGrid>
      <w:tr w:rsidR="00FE2E25" w14:paraId="64B3610E" w14:textId="77777777">
        <w:trPr>
          <w:trHeight w:val="540"/>
        </w:trPr>
        <w:tc>
          <w:tcPr>
            <w:tcW w:w="915" w:type="dxa"/>
            <w:tcBorders>
              <w:top w:val="nil"/>
              <w:left w:val="nil"/>
              <w:bottom w:val="nil"/>
              <w:right w:val="nil"/>
            </w:tcBorders>
            <w:tcMar>
              <w:top w:w="0" w:type="dxa"/>
              <w:left w:w="0" w:type="dxa"/>
              <w:bottom w:w="0" w:type="dxa"/>
              <w:right w:w="0" w:type="dxa"/>
            </w:tcMar>
          </w:tcPr>
          <w:p w14:paraId="171A876F"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Regional</w:t>
            </w:r>
          </w:p>
        </w:tc>
        <w:tc>
          <w:tcPr>
            <w:tcW w:w="1035" w:type="dxa"/>
            <w:tcBorders>
              <w:top w:val="nil"/>
              <w:left w:val="nil"/>
              <w:bottom w:val="nil"/>
              <w:right w:val="nil"/>
            </w:tcBorders>
            <w:tcMar>
              <w:top w:w="0" w:type="dxa"/>
              <w:left w:w="0" w:type="dxa"/>
              <w:bottom w:w="0" w:type="dxa"/>
              <w:right w:w="0" w:type="dxa"/>
            </w:tcMar>
          </w:tcPr>
          <w:p w14:paraId="6FCA7268"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Municipio</w:t>
            </w:r>
          </w:p>
        </w:tc>
        <w:tc>
          <w:tcPr>
            <w:tcW w:w="1125" w:type="dxa"/>
            <w:tcBorders>
              <w:top w:val="nil"/>
              <w:left w:val="nil"/>
              <w:bottom w:val="nil"/>
              <w:right w:val="nil"/>
            </w:tcBorders>
            <w:tcMar>
              <w:top w:w="0" w:type="dxa"/>
              <w:left w:w="0" w:type="dxa"/>
              <w:bottom w:w="0" w:type="dxa"/>
              <w:right w:w="0" w:type="dxa"/>
            </w:tcMar>
          </w:tcPr>
          <w:p w14:paraId="4493EBC1"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Dirección</w:t>
            </w:r>
          </w:p>
        </w:tc>
        <w:tc>
          <w:tcPr>
            <w:tcW w:w="990" w:type="dxa"/>
            <w:tcBorders>
              <w:top w:val="nil"/>
              <w:left w:val="nil"/>
              <w:bottom w:val="nil"/>
              <w:right w:val="nil"/>
            </w:tcBorders>
            <w:tcMar>
              <w:top w:w="0" w:type="dxa"/>
              <w:left w:w="0" w:type="dxa"/>
              <w:bottom w:w="0" w:type="dxa"/>
              <w:right w:w="0" w:type="dxa"/>
            </w:tcMar>
          </w:tcPr>
          <w:p w14:paraId="79C81B35"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Tipo de inmueble</w:t>
            </w:r>
          </w:p>
        </w:tc>
        <w:tc>
          <w:tcPr>
            <w:tcW w:w="1245" w:type="dxa"/>
            <w:tcBorders>
              <w:top w:val="nil"/>
              <w:left w:val="nil"/>
              <w:bottom w:val="nil"/>
              <w:right w:val="nil"/>
            </w:tcBorders>
            <w:tcMar>
              <w:top w:w="0" w:type="dxa"/>
              <w:left w:w="0" w:type="dxa"/>
              <w:bottom w:w="0" w:type="dxa"/>
              <w:right w:w="0" w:type="dxa"/>
            </w:tcMar>
          </w:tcPr>
          <w:p w14:paraId="0CC8C721"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No matrícula inmobiliaria</w:t>
            </w:r>
          </w:p>
        </w:tc>
        <w:tc>
          <w:tcPr>
            <w:tcW w:w="1080" w:type="dxa"/>
            <w:tcBorders>
              <w:top w:val="nil"/>
              <w:left w:val="nil"/>
              <w:bottom w:val="nil"/>
              <w:right w:val="nil"/>
            </w:tcBorders>
            <w:tcMar>
              <w:top w:w="0" w:type="dxa"/>
              <w:left w:w="0" w:type="dxa"/>
              <w:bottom w:w="0" w:type="dxa"/>
              <w:right w:w="0" w:type="dxa"/>
            </w:tcMar>
          </w:tcPr>
          <w:p w14:paraId="0D8BEEAB"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 de propiedad</w:t>
            </w:r>
          </w:p>
        </w:tc>
        <w:tc>
          <w:tcPr>
            <w:tcW w:w="1245" w:type="dxa"/>
            <w:tcBorders>
              <w:top w:val="nil"/>
              <w:left w:val="nil"/>
              <w:bottom w:val="nil"/>
              <w:right w:val="nil"/>
            </w:tcBorders>
            <w:tcMar>
              <w:top w:w="0" w:type="dxa"/>
              <w:left w:w="0" w:type="dxa"/>
              <w:bottom w:w="0" w:type="dxa"/>
              <w:right w:w="0" w:type="dxa"/>
            </w:tcMar>
          </w:tcPr>
          <w:p w14:paraId="4C4FDA01"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Avalúo comercial</w:t>
            </w:r>
          </w:p>
        </w:tc>
        <w:tc>
          <w:tcPr>
            <w:tcW w:w="1020" w:type="dxa"/>
            <w:tcBorders>
              <w:top w:val="nil"/>
              <w:left w:val="nil"/>
              <w:bottom w:val="nil"/>
              <w:right w:val="nil"/>
            </w:tcBorders>
            <w:tcMar>
              <w:top w:w="0" w:type="dxa"/>
              <w:left w:w="0" w:type="dxa"/>
              <w:bottom w:w="0" w:type="dxa"/>
              <w:right w:w="0" w:type="dxa"/>
            </w:tcMar>
          </w:tcPr>
          <w:p w14:paraId="2E6B47EF"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Fecha avalúo</w:t>
            </w:r>
          </w:p>
        </w:tc>
      </w:tr>
      <w:tr w:rsidR="00FE2E25" w14:paraId="0A4D11F3" w14:textId="77777777">
        <w:trPr>
          <w:trHeight w:val="810"/>
        </w:trPr>
        <w:tc>
          <w:tcPr>
            <w:tcW w:w="915" w:type="dxa"/>
            <w:tcBorders>
              <w:top w:val="nil"/>
              <w:left w:val="nil"/>
              <w:bottom w:val="nil"/>
              <w:right w:val="nil"/>
            </w:tcBorders>
            <w:tcMar>
              <w:top w:w="0" w:type="dxa"/>
              <w:left w:w="0" w:type="dxa"/>
              <w:bottom w:w="0" w:type="dxa"/>
              <w:right w:w="0" w:type="dxa"/>
            </w:tcMar>
          </w:tcPr>
          <w:p w14:paraId="509F4FFE"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Bogotá, D. C.</w:t>
            </w:r>
          </w:p>
        </w:tc>
        <w:tc>
          <w:tcPr>
            <w:tcW w:w="1035" w:type="dxa"/>
            <w:tcBorders>
              <w:top w:val="nil"/>
              <w:left w:val="nil"/>
              <w:bottom w:val="nil"/>
              <w:right w:val="nil"/>
            </w:tcBorders>
            <w:tcMar>
              <w:top w:w="0" w:type="dxa"/>
              <w:left w:w="0" w:type="dxa"/>
              <w:bottom w:w="0" w:type="dxa"/>
              <w:right w:w="0" w:type="dxa"/>
            </w:tcMar>
          </w:tcPr>
          <w:p w14:paraId="0ACCB16C"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Bogotá, D. C.</w:t>
            </w:r>
          </w:p>
        </w:tc>
        <w:tc>
          <w:tcPr>
            <w:tcW w:w="1125" w:type="dxa"/>
            <w:tcBorders>
              <w:top w:val="nil"/>
              <w:left w:val="nil"/>
              <w:bottom w:val="nil"/>
              <w:right w:val="nil"/>
            </w:tcBorders>
            <w:tcMar>
              <w:top w:w="0" w:type="dxa"/>
              <w:left w:w="0" w:type="dxa"/>
              <w:bottom w:w="0" w:type="dxa"/>
              <w:right w:w="0" w:type="dxa"/>
            </w:tcMar>
          </w:tcPr>
          <w:p w14:paraId="69BF3028"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Transversal 16 A No 45-A-52 Sur</w:t>
            </w:r>
          </w:p>
        </w:tc>
        <w:tc>
          <w:tcPr>
            <w:tcW w:w="990" w:type="dxa"/>
            <w:tcBorders>
              <w:top w:val="nil"/>
              <w:left w:val="nil"/>
              <w:bottom w:val="nil"/>
              <w:right w:val="nil"/>
            </w:tcBorders>
            <w:tcMar>
              <w:top w:w="0" w:type="dxa"/>
              <w:left w:w="0" w:type="dxa"/>
              <w:bottom w:w="0" w:type="dxa"/>
              <w:right w:w="0" w:type="dxa"/>
            </w:tcMar>
          </w:tcPr>
          <w:p w14:paraId="66A76A03"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Casa</w:t>
            </w:r>
          </w:p>
        </w:tc>
        <w:tc>
          <w:tcPr>
            <w:tcW w:w="1245" w:type="dxa"/>
            <w:tcBorders>
              <w:top w:val="nil"/>
              <w:left w:val="nil"/>
              <w:bottom w:val="nil"/>
              <w:right w:val="nil"/>
            </w:tcBorders>
            <w:tcMar>
              <w:top w:w="0" w:type="dxa"/>
              <w:left w:w="0" w:type="dxa"/>
              <w:bottom w:w="0" w:type="dxa"/>
              <w:right w:w="0" w:type="dxa"/>
            </w:tcMar>
          </w:tcPr>
          <w:p w14:paraId="3F9ADC1E"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50S-1186408</w:t>
            </w:r>
          </w:p>
        </w:tc>
        <w:tc>
          <w:tcPr>
            <w:tcW w:w="1080" w:type="dxa"/>
            <w:tcBorders>
              <w:top w:val="nil"/>
              <w:left w:val="nil"/>
              <w:bottom w:val="nil"/>
              <w:right w:val="nil"/>
            </w:tcBorders>
            <w:tcMar>
              <w:top w:w="0" w:type="dxa"/>
              <w:left w:w="0" w:type="dxa"/>
              <w:bottom w:w="0" w:type="dxa"/>
              <w:right w:w="0" w:type="dxa"/>
            </w:tcMar>
          </w:tcPr>
          <w:p w14:paraId="32FB3B5F"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100.00</w:t>
            </w:r>
          </w:p>
        </w:tc>
        <w:tc>
          <w:tcPr>
            <w:tcW w:w="1245" w:type="dxa"/>
            <w:tcBorders>
              <w:top w:val="nil"/>
              <w:left w:val="nil"/>
              <w:bottom w:val="nil"/>
              <w:right w:val="nil"/>
            </w:tcBorders>
            <w:tcMar>
              <w:top w:w="0" w:type="dxa"/>
              <w:left w:w="0" w:type="dxa"/>
              <w:bottom w:w="0" w:type="dxa"/>
              <w:right w:w="0" w:type="dxa"/>
            </w:tcMar>
          </w:tcPr>
          <w:p w14:paraId="6B21887F"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$124.103.000</w:t>
            </w:r>
          </w:p>
        </w:tc>
        <w:tc>
          <w:tcPr>
            <w:tcW w:w="1020" w:type="dxa"/>
            <w:tcBorders>
              <w:top w:val="nil"/>
              <w:left w:val="nil"/>
              <w:bottom w:val="nil"/>
              <w:right w:val="nil"/>
            </w:tcBorders>
            <w:tcMar>
              <w:top w:w="0" w:type="dxa"/>
              <w:left w:w="0" w:type="dxa"/>
              <w:bottom w:w="0" w:type="dxa"/>
              <w:right w:w="0" w:type="dxa"/>
            </w:tcMar>
          </w:tcPr>
          <w:p w14:paraId="007E59F1"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01/10/2013</w:t>
            </w:r>
          </w:p>
        </w:tc>
      </w:tr>
    </w:tbl>
    <w:p w14:paraId="49B64EE0" w14:textId="77777777"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Plan de Enajenación Onerosa del ICBF actualizado con este inmueble será publicado en la página web del ICBF, </w:t>
      </w:r>
      <w:r>
        <w:rPr>
          <w:rFonts w:ascii="Verdana" w:eastAsia="Verdana" w:hAnsi="Verdana" w:cs="Verdana"/>
          <w:u w:val="single"/>
        </w:rPr>
        <w:t xml:space="preserve">www.icbf.gov.co </w:t>
      </w:r>
      <w:r>
        <w:rPr>
          <w:rFonts w:ascii="Verdana" w:eastAsia="Verdana" w:hAnsi="Verdana" w:cs="Verdana"/>
        </w:rPr>
        <w:t xml:space="preserve">y en el </w:t>
      </w:r>
      <w:r>
        <w:rPr>
          <w:rFonts w:ascii="Verdana" w:eastAsia="Verdana" w:hAnsi="Verdana" w:cs="Verdana"/>
          <w:i/>
          <w:iCs/>
        </w:rPr>
        <w:t>Diario Oficial</w:t>
      </w:r>
      <w:r>
        <w:rPr>
          <w:rFonts w:ascii="Verdana" w:eastAsia="Verdana" w:hAnsi="Verdana" w:cs="Verdana"/>
        </w:rPr>
        <w:t>;</w:t>
      </w:r>
    </w:p>
    <w:p w14:paraId="71FCC42C" w14:textId="77777777"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rPr>
        <w:t>En mérito de lo expuesto,</w:t>
      </w:r>
    </w:p>
    <w:p w14:paraId="08FEB796"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2ED5A2AD" w14:textId="5FC7B7BE"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b/>
          <w:bCs/>
        </w:rPr>
        <w:lastRenderedPageBreak/>
        <w:t>ARTÍCULO 1o.</w:t>
      </w:r>
      <w:r>
        <w:rPr>
          <w:rFonts w:ascii="Verdana" w:eastAsia="Verdana" w:hAnsi="Verdana" w:cs="Verdana"/>
        </w:rPr>
        <w:t xml:space="preserve"> Adicionar el siguiente inmueble al Plan de Enajenación Onerosa contenido en la Resolución número </w:t>
      </w:r>
      <w:r w:rsidR="00FE2E25">
        <w:rPr>
          <w:rFonts w:ascii="Verdana" w:eastAsia="Verdana" w:hAnsi="Verdana" w:cs="Verdana"/>
        </w:rPr>
        <w:t>8825</w:t>
      </w:r>
      <w:r>
        <w:rPr>
          <w:rFonts w:ascii="Verdana" w:eastAsia="Verdana" w:hAnsi="Verdana" w:cs="Verdana"/>
        </w:rPr>
        <w:t xml:space="preserve"> de 2013 del ICBF:</w:t>
      </w:r>
    </w:p>
    <w:tbl>
      <w:tblPr>
        <w:tblStyle w:val="a1"/>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1035"/>
        <w:gridCol w:w="1125"/>
        <w:gridCol w:w="990"/>
        <w:gridCol w:w="1245"/>
        <w:gridCol w:w="1080"/>
        <w:gridCol w:w="1245"/>
        <w:gridCol w:w="1020"/>
      </w:tblGrid>
      <w:tr w:rsidR="00FE2E25" w14:paraId="1E5FD1A4" w14:textId="77777777">
        <w:trPr>
          <w:trHeight w:val="540"/>
        </w:trPr>
        <w:tc>
          <w:tcPr>
            <w:tcW w:w="915" w:type="dxa"/>
            <w:tcBorders>
              <w:top w:val="nil"/>
              <w:left w:val="nil"/>
              <w:bottom w:val="nil"/>
              <w:right w:val="nil"/>
            </w:tcBorders>
            <w:tcMar>
              <w:top w:w="0" w:type="dxa"/>
              <w:left w:w="0" w:type="dxa"/>
              <w:bottom w:w="0" w:type="dxa"/>
              <w:right w:w="0" w:type="dxa"/>
            </w:tcMar>
          </w:tcPr>
          <w:p w14:paraId="54CE8EA1"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Regional</w:t>
            </w:r>
          </w:p>
        </w:tc>
        <w:tc>
          <w:tcPr>
            <w:tcW w:w="1035" w:type="dxa"/>
            <w:tcBorders>
              <w:top w:val="nil"/>
              <w:left w:val="nil"/>
              <w:bottom w:val="nil"/>
              <w:right w:val="nil"/>
            </w:tcBorders>
            <w:tcMar>
              <w:top w:w="0" w:type="dxa"/>
              <w:left w:w="0" w:type="dxa"/>
              <w:bottom w:w="0" w:type="dxa"/>
              <w:right w:w="0" w:type="dxa"/>
            </w:tcMar>
          </w:tcPr>
          <w:p w14:paraId="134290C8"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Municipio</w:t>
            </w:r>
          </w:p>
        </w:tc>
        <w:tc>
          <w:tcPr>
            <w:tcW w:w="1125" w:type="dxa"/>
            <w:tcBorders>
              <w:top w:val="nil"/>
              <w:left w:val="nil"/>
              <w:bottom w:val="nil"/>
              <w:right w:val="nil"/>
            </w:tcBorders>
            <w:tcMar>
              <w:top w:w="0" w:type="dxa"/>
              <w:left w:w="0" w:type="dxa"/>
              <w:bottom w:w="0" w:type="dxa"/>
              <w:right w:w="0" w:type="dxa"/>
            </w:tcMar>
          </w:tcPr>
          <w:p w14:paraId="7BB8F768"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Dirección</w:t>
            </w:r>
          </w:p>
        </w:tc>
        <w:tc>
          <w:tcPr>
            <w:tcW w:w="990" w:type="dxa"/>
            <w:tcBorders>
              <w:top w:val="nil"/>
              <w:left w:val="nil"/>
              <w:bottom w:val="nil"/>
              <w:right w:val="nil"/>
            </w:tcBorders>
            <w:tcMar>
              <w:top w:w="0" w:type="dxa"/>
              <w:left w:w="0" w:type="dxa"/>
              <w:bottom w:w="0" w:type="dxa"/>
              <w:right w:w="0" w:type="dxa"/>
            </w:tcMar>
          </w:tcPr>
          <w:p w14:paraId="01F85E2D"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Tipo de inmueble</w:t>
            </w:r>
          </w:p>
        </w:tc>
        <w:tc>
          <w:tcPr>
            <w:tcW w:w="1245" w:type="dxa"/>
            <w:tcBorders>
              <w:top w:val="nil"/>
              <w:left w:val="nil"/>
              <w:bottom w:val="nil"/>
              <w:right w:val="nil"/>
            </w:tcBorders>
            <w:tcMar>
              <w:top w:w="0" w:type="dxa"/>
              <w:left w:w="0" w:type="dxa"/>
              <w:bottom w:w="0" w:type="dxa"/>
              <w:right w:w="0" w:type="dxa"/>
            </w:tcMar>
          </w:tcPr>
          <w:p w14:paraId="30418E89"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No matrícula inmobiliaria</w:t>
            </w:r>
          </w:p>
        </w:tc>
        <w:tc>
          <w:tcPr>
            <w:tcW w:w="1080" w:type="dxa"/>
            <w:tcBorders>
              <w:top w:val="nil"/>
              <w:left w:val="nil"/>
              <w:bottom w:val="nil"/>
              <w:right w:val="nil"/>
            </w:tcBorders>
            <w:tcMar>
              <w:top w:w="0" w:type="dxa"/>
              <w:left w:w="0" w:type="dxa"/>
              <w:bottom w:w="0" w:type="dxa"/>
              <w:right w:w="0" w:type="dxa"/>
            </w:tcMar>
          </w:tcPr>
          <w:p w14:paraId="5E05DB5D"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 de propiedad</w:t>
            </w:r>
          </w:p>
        </w:tc>
        <w:tc>
          <w:tcPr>
            <w:tcW w:w="1245" w:type="dxa"/>
            <w:tcBorders>
              <w:top w:val="nil"/>
              <w:left w:val="nil"/>
              <w:bottom w:val="nil"/>
              <w:right w:val="nil"/>
            </w:tcBorders>
            <w:tcMar>
              <w:top w:w="0" w:type="dxa"/>
              <w:left w:w="0" w:type="dxa"/>
              <w:bottom w:w="0" w:type="dxa"/>
              <w:right w:w="0" w:type="dxa"/>
            </w:tcMar>
          </w:tcPr>
          <w:p w14:paraId="21BD551B"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Avalúo comercial</w:t>
            </w:r>
          </w:p>
        </w:tc>
        <w:tc>
          <w:tcPr>
            <w:tcW w:w="1020" w:type="dxa"/>
            <w:tcBorders>
              <w:top w:val="nil"/>
              <w:left w:val="nil"/>
              <w:bottom w:val="nil"/>
              <w:right w:val="nil"/>
            </w:tcBorders>
            <w:tcMar>
              <w:top w:w="0" w:type="dxa"/>
              <w:left w:w="0" w:type="dxa"/>
              <w:bottom w:w="0" w:type="dxa"/>
              <w:right w:w="0" w:type="dxa"/>
            </w:tcMar>
          </w:tcPr>
          <w:p w14:paraId="7776A9DF"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Fecha avalúo</w:t>
            </w:r>
          </w:p>
        </w:tc>
      </w:tr>
      <w:tr w:rsidR="00FE2E25" w14:paraId="1B2EA02A" w14:textId="77777777">
        <w:trPr>
          <w:trHeight w:val="810"/>
        </w:trPr>
        <w:tc>
          <w:tcPr>
            <w:tcW w:w="915" w:type="dxa"/>
            <w:tcBorders>
              <w:top w:val="nil"/>
              <w:left w:val="nil"/>
              <w:bottom w:val="nil"/>
              <w:right w:val="nil"/>
            </w:tcBorders>
            <w:tcMar>
              <w:top w:w="0" w:type="dxa"/>
              <w:left w:w="0" w:type="dxa"/>
              <w:bottom w:w="0" w:type="dxa"/>
              <w:right w:w="0" w:type="dxa"/>
            </w:tcMar>
          </w:tcPr>
          <w:p w14:paraId="5CFA3D58"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Bogotá, D. C.</w:t>
            </w:r>
          </w:p>
        </w:tc>
        <w:tc>
          <w:tcPr>
            <w:tcW w:w="1035" w:type="dxa"/>
            <w:tcBorders>
              <w:top w:val="nil"/>
              <w:left w:val="nil"/>
              <w:bottom w:val="nil"/>
              <w:right w:val="nil"/>
            </w:tcBorders>
            <w:tcMar>
              <w:top w:w="0" w:type="dxa"/>
              <w:left w:w="0" w:type="dxa"/>
              <w:bottom w:w="0" w:type="dxa"/>
              <w:right w:w="0" w:type="dxa"/>
            </w:tcMar>
          </w:tcPr>
          <w:p w14:paraId="07103EBA"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Bogotá, D. C.</w:t>
            </w:r>
          </w:p>
        </w:tc>
        <w:tc>
          <w:tcPr>
            <w:tcW w:w="1125" w:type="dxa"/>
            <w:tcBorders>
              <w:top w:val="nil"/>
              <w:left w:val="nil"/>
              <w:bottom w:val="nil"/>
              <w:right w:val="nil"/>
            </w:tcBorders>
            <w:tcMar>
              <w:top w:w="0" w:type="dxa"/>
              <w:left w:w="0" w:type="dxa"/>
              <w:bottom w:w="0" w:type="dxa"/>
              <w:right w:w="0" w:type="dxa"/>
            </w:tcMar>
          </w:tcPr>
          <w:p w14:paraId="15430C50"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Transversal 16 A No 45-A-52 Sur</w:t>
            </w:r>
          </w:p>
        </w:tc>
        <w:tc>
          <w:tcPr>
            <w:tcW w:w="990" w:type="dxa"/>
            <w:tcBorders>
              <w:top w:val="nil"/>
              <w:left w:val="nil"/>
              <w:bottom w:val="nil"/>
              <w:right w:val="nil"/>
            </w:tcBorders>
            <w:tcMar>
              <w:top w:w="0" w:type="dxa"/>
              <w:left w:w="0" w:type="dxa"/>
              <w:bottom w:w="0" w:type="dxa"/>
              <w:right w:w="0" w:type="dxa"/>
            </w:tcMar>
          </w:tcPr>
          <w:p w14:paraId="483C0904"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Casa</w:t>
            </w:r>
          </w:p>
        </w:tc>
        <w:tc>
          <w:tcPr>
            <w:tcW w:w="1245" w:type="dxa"/>
            <w:tcBorders>
              <w:top w:val="nil"/>
              <w:left w:val="nil"/>
              <w:bottom w:val="nil"/>
              <w:right w:val="nil"/>
            </w:tcBorders>
            <w:tcMar>
              <w:top w:w="0" w:type="dxa"/>
              <w:left w:w="0" w:type="dxa"/>
              <w:bottom w:w="0" w:type="dxa"/>
              <w:right w:w="0" w:type="dxa"/>
            </w:tcMar>
          </w:tcPr>
          <w:p w14:paraId="4232C1E2"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50S-1186408</w:t>
            </w:r>
          </w:p>
        </w:tc>
        <w:tc>
          <w:tcPr>
            <w:tcW w:w="1080" w:type="dxa"/>
            <w:tcBorders>
              <w:top w:val="nil"/>
              <w:left w:val="nil"/>
              <w:bottom w:val="nil"/>
              <w:right w:val="nil"/>
            </w:tcBorders>
            <w:tcMar>
              <w:top w:w="0" w:type="dxa"/>
              <w:left w:w="0" w:type="dxa"/>
              <w:bottom w:w="0" w:type="dxa"/>
              <w:right w:w="0" w:type="dxa"/>
            </w:tcMar>
          </w:tcPr>
          <w:p w14:paraId="3044D65E" w14:textId="77777777" w:rsidR="00FE2E25" w:rsidRDefault="009E03C3">
            <w:pPr>
              <w:shd w:val="clear" w:color="auto" w:fill="FFFFFF"/>
              <w:spacing w:line="240" w:lineRule="auto"/>
              <w:jc w:val="center"/>
              <w:rPr>
                <w:rFonts w:ascii="Verdana" w:eastAsia="Verdana" w:hAnsi="Verdana" w:cs="Verdana"/>
              </w:rPr>
            </w:pPr>
            <w:r>
              <w:rPr>
                <w:rFonts w:ascii="Verdana" w:eastAsia="Verdana" w:hAnsi="Verdana" w:cs="Verdana"/>
              </w:rPr>
              <w:t>100.00</w:t>
            </w:r>
          </w:p>
        </w:tc>
        <w:tc>
          <w:tcPr>
            <w:tcW w:w="1245" w:type="dxa"/>
            <w:tcBorders>
              <w:top w:val="nil"/>
              <w:left w:val="nil"/>
              <w:bottom w:val="nil"/>
              <w:right w:val="nil"/>
            </w:tcBorders>
            <w:tcMar>
              <w:top w:w="0" w:type="dxa"/>
              <w:left w:w="0" w:type="dxa"/>
              <w:bottom w:w="0" w:type="dxa"/>
              <w:right w:w="0" w:type="dxa"/>
            </w:tcMar>
          </w:tcPr>
          <w:p w14:paraId="5BE090C4"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$124.103.000</w:t>
            </w:r>
          </w:p>
        </w:tc>
        <w:tc>
          <w:tcPr>
            <w:tcW w:w="1020" w:type="dxa"/>
            <w:tcBorders>
              <w:top w:val="nil"/>
              <w:left w:val="nil"/>
              <w:bottom w:val="nil"/>
              <w:right w:val="nil"/>
            </w:tcBorders>
            <w:tcMar>
              <w:top w:w="0" w:type="dxa"/>
              <w:left w:w="0" w:type="dxa"/>
              <w:bottom w:w="0" w:type="dxa"/>
              <w:right w:w="0" w:type="dxa"/>
            </w:tcMar>
          </w:tcPr>
          <w:p w14:paraId="511E8705" w14:textId="77777777" w:rsidR="00FE2E25" w:rsidRDefault="009E03C3">
            <w:pPr>
              <w:shd w:val="clear" w:color="auto" w:fill="FFFFFF"/>
              <w:spacing w:line="240" w:lineRule="auto"/>
              <w:jc w:val="both"/>
              <w:rPr>
                <w:rFonts w:ascii="Verdana" w:eastAsia="Verdana" w:hAnsi="Verdana" w:cs="Verdana"/>
              </w:rPr>
            </w:pPr>
            <w:r>
              <w:rPr>
                <w:rFonts w:ascii="Verdana" w:eastAsia="Verdana" w:hAnsi="Verdana" w:cs="Verdana"/>
              </w:rPr>
              <w:t>01/10/2013</w:t>
            </w:r>
          </w:p>
        </w:tc>
      </w:tr>
    </w:tbl>
    <w:p w14:paraId="66C31A76" w14:textId="77777777" w:rsidR="00FE2E25" w:rsidRDefault="00FE2E25">
      <w:pPr>
        <w:shd w:val="clear" w:color="auto" w:fill="FFFFFF"/>
        <w:spacing w:after="240" w:line="240" w:lineRule="auto"/>
        <w:jc w:val="both"/>
        <w:rPr>
          <w:rFonts w:ascii="Verdana" w:eastAsia="Verdana" w:hAnsi="Verdana" w:cs="Verdana"/>
        </w:rPr>
      </w:pPr>
    </w:p>
    <w:p w14:paraId="65DB0B57" w14:textId="77777777" w:rsidR="00FE2E25" w:rsidRDefault="009E03C3">
      <w:pPr>
        <w:shd w:val="clear" w:color="auto" w:fill="FFFFFF"/>
        <w:spacing w:after="240" w:line="240" w:lineRule="auto"/>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La presente resolución rige a partir de la fecha de su publicación.</w:t>
      </w:r>
    </w:p>
    <w:p w14:paraId="1F4EE6B8" w14:textId="77777777" w:rsidR="00FE2E25" w:rsidRDefault="00FE2E25">
      <w:pPr>
        <w:shd w:val="clear" w:color="auto" w:fill="FFFFFF"/>
        <w:spacing w:after="240" w:line="240" w:lineRule="auto"/>
        <w:jc w:val="center"/>
        <w:rPr>
          <w:rFonts w:ascii="Verdana" w:eastAsia="Verdana" w:hAnsi="Verdana" w:cs="Verdana"/>
        </w:rPr>
      </w:pPr>
    </w:p>
    <w:p w14:paraId="30F5D9B7" w14:textId="77777777" w:rsidR="00FE2E25" w:rsidRDefault="00FE2E25">
      <w:pPr>
        <w:shd w:val="clear" w:color="auto" w:fill="FFFFFF"/>
        <w:spacing w:after="240" w:line="240" w:lineRule="auto"/>
        <w:jc w:val="center"/>
        <w:rPr>
          <w:rFonts w:ascii="Verdana" w:eastAsia="Verdana" w:hAnsi="Verdana" w:cs="Verdana"/>
        </w:rPr>
      </w:pPr>
    </w:p>
    <w:p w14:paraId="62AE1626"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Publíquese y cúmplase.</w:t>
      </w:r>
    </w:p>
    <w:p w14:paraId="4B949362" w14:textId="77777777" w:rsidR="00FE2E25" w:rsidRDefault="009E03C3">
      <w:pPr>
        <w:shd w:val="clear" w:color="auto" w:fill="FFFFFF"/>
        <w:spacing w:after="240" w:line="240" w:lineRule="auto"/>
        <w:jc w:val="center"/>
        <w:rPr>
          <w:rFonts w:ascii="Verdana" w:eastAsia="Verdana" w:hAnsi="Verdana" w:cs="Verdana"/>
        </w:rPr>
      </w:pPr>
      <w:r>
        <w:rPr>
          <w:rFonts w:ascii="Verdana" w:eastAsia="Verdana" w:hAnsi="Verdana" w:cs="Verdana"/>
        </w:rPr>
        <w:t>Dada en Bogotá, D. C., a 7 de marzo de 2014.</w:t>
      </w:r>
    </w:p>
    <w:p w14:paraId="1DE6FFCE" w14:textId="77777777" w:rsidR="00FE2E25" w:rsidRDefault="009E03C3">
      <w:pPr>
        <w:shd w:val="clear" w:color="auto" w:fill="FFFFFF"/>
        <w:spacing w:after="240" w:line="240" w:lineRule="auto"/>
        <w:jc w:val="center"/>
        <w:rPr>
          <w:rFonts w:ascii="Verdana" w:eastAsia="Verdana" w:hAnsi="Verdana" w:cs="Verdana"/>
        </w:rPr>
      </w:pPr>
      <w:r>
        <w:rPr>
          <w:rFonts w:ascii="Verdana" w:eastAsia="Verdana" w:hAnsi="Verdana" w:cs="Verdana"/>
        </w:rPr>
        <w:t>El Director General,</w:t>
      </w:r>
    </w:p>
    <w:p w14:paraId="41F03636"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MARCO AURELIO ZULUAGA GIRALDO.</w:t>
      </w:r>
    </w:p>
    <w:p w14:paraId="74C76F5F" w14:textId="77777777" w:rsidR="00FE2E25" w:rsidRDefault="00FE2E25">
      <w:pPr>
        <w:shd w:val="clear" w:color="auto" w:fill="FFFFFF"/>
        <w:spacing w:after="240" w:line="240" w:lineRule="auto"/>
        <w:jc w:val="center"/>
        <w:rPr>
          <w:rFonts w:ascii="Verdana" w:eastAsia="Verdana" w:hAnsi="Verdana" w:cs="Verdana"/>
          <w:b/>
          <w:bCs/>
        </w:rPr>
      </w:pPr>
    </w:p>
    <w:p w14:paraId="22088899" w14:textId="77777777" w:rsidR="00FE2E25" w:rsidRDefault="00FE2E25">
      <w:pPr>
        <w:shd w:val="clear" w:color="auto" w:fill="FFFFFF"/>
        <w:spacing w:after="240" w:line="240" w:lineRule="auto"/>
        <w:jc w:val="center"/>
        <w:rPr>
          <w:rFonts w:ascii="Verdana" w:eastAsia="Verdana" w:hAnsi="Verdana" w:cs="Verdana"/>
          <w:b/>
          <w:bCs/>
        </w:rPr>
      </w:pPr>
    </w:p>
    <w:p w14:paraId="3C6D1D70" w14:textId="77777777" w:rsidR="00FE2E25" w:rsidRDefault="009E03C3">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 </w:t>
      </w:r>
    </w:p>
    <w:sectPr w:rsidR="00FE2E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6270679-B0B0-4DB2-80D3-D45D87457544}"/>
    <w:embedBold r:id="rId2" w:fontKey="{58DCCA2D-B2C1-452C-ABB8-49CEC416B38D}"/>
    <w:embedItalic r:id="rId3" w:fontKey="{D2062158-59E9-4C7B-94E7-36A52FDDFCAC}"/>
  </w:font>
  <w:font w:name="Calibri">
    <w:panose1 w:val="020F0502020204030204"/>
    <w:charset w:val="00"/>
    <w:family w:val="swiss"/>
    <w:pitch w:val="variable"/>
    <w:sig w:usb0="E4002EFF" w:usb1="C200247B" w:usb2="00000009" w:usb3="00000000" w:csb0="000001FF" w:csb1="00000000"/>
    <w:embedRegular r:id="rId4" w:fontKey="{C3FB2494-FF39-43BF-88C7-A14AAE4BEFCF}"/>
  </w:font>
  <w:font w:name="Cambria">
    <w:panose1 w:val="02040503050406030204"/>
    <w:charset w:val="00"/>
    <w:family w:val="roman"/>
    <w:pitch w:val="variable"/>
    <w:sig w:usb0="E00006FF" w:usb1="420024FF" w:usb2="02000000" w:usb3="00000000" w:csb0="0000019F" w:csb1="00000000"/>
    <w:embedRegular r:id="rId5" w:fontKey="{024B677F-41CB-479C-873C-A73C15D9FB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E25"/>
    <w:rsid w:val="00383FF3"/>
    <w:rsid w:val="00665FDA"/>
    <w:rsid w:val="007D3727"/>
    <w:rsid w:val="009E03C3"/>
    <w:rsid w:val="00CD6D52"/>
    <w:rsid w:val="00FE2E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2914F"/>
  <w15:docId w15:val="{E197CBB4-C6A1-47DC-A51D-B6415FB3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inespaciado">
    <w:name w:val="No Spacing"/>
    <w:uiPriority w:val="1"/>
    <w:qFormat/>
    <w:rsid w:val="00CD6D5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1A9437-B77B-4F34-92E4-04A1A0320023}"/>
</file>

<file path=customXml/itemProps2.xml><?xml version="1.0" encoding="utf-8"?>
<ds:datastoreItem xmlns:ds="http://schemas.openxmlformats.org/officeDocument/2006/customXml" ds:itemID="{3D58F4EF-ACCD-4DFF-8931-87AAF5748AC8}"/>
</file>

<file path=customXml/itemProps3.xml><?xml version="1.0" encoding="utf-8"?>
<ds:datastoreItem xmlns:ds="http://schemas.openxmlformats.org/officeDocument/2006/customXml" ds:itemID="{9BB6D405-A0D9-495B-9E45-212EDECED1EB}"/>
</file>

<file path=docProps/app.xml><?xml version="1.0" encoding="utf-8"?>
<Properties xmlns="http://schemas.openxmlformats.org/officeDocument/2006/extended-properties" xmlns:vt="http://schemas.openxmlformats.org/officeDocument/2006/docPropsVTypes">
  <Template>Normal</Template>
  <TotalTime>3</TotalTime>
  <Pages>3</Pages>
  <Words>681</Words>
  <Characters>3748</Characters>
  <Application>Microsoft Office Word</Application>
  <DocSecurity>0</DocSecurity>
  <Lines>31</Lines>
  <Paragraphs>8</Paragraphs>
  <ScaleCrop>false</ScaleCrop>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2026-01-05T21:39:00Z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