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2117" w:rsidRDefault="00000000">
      <w:pPr>
        <w:spacing w:after="160" w:line="240" w:lineRule="auto"/>
        <w:jc w:val="center"/>
        <w:rPr>
          <w:rFonts w:ascii="Verdana" w:eastAsia="Verdana" w:hAnsi="Verdana" w:cs="Verdana"/>
        </w:rPr>
      </w:pPr>
      <w:r>
        <w:rPr>
          <w:rFonts w:ascii="Verdana" w:eastAsia="Verdana" w:hAnsi="Verdana" w:cs="Verdana"/>
          <w:b/>
          <w:bCs/>
        </w:rPr>
        <w:t>RESOLUCIÓN 1361 DE 2010</w:t>
      </w:r>
    </w:p>
    <w:p w14:paraId="00000002" w14:textId="77777777" w:rsidR="00E72117" w:rsidRDefault="00000000">
      <w:pPr>
        <w:spacing w:line="240" w:lineRule="auto"/>
        <w:rPr>
          <w:rFonts w:ascii="Verdana" w:eastAsia="Verdana" w:hAnsi="Verdana" w:cs="Verdana"/>
        </w:rPr>
      </w:pPr>
      <w:r>
        <w:rPr>
          <w:rFonts w:ascii="Verdana" w:eastAsia="Verdana" w:hAnsi="Verdana" w:cs="Verdana"/>
        </w:rPr>
        <w:t>Fecha de Expedición: 26 de marzo de 2010</w:t>
      </w:r>
    </w:p>
    <w:p w14:paraId="00000003" w14:textId="77777777" w:rsidR="00E72117" w:rsidRDefault="00000000">
      <w:pPr>
        <w:spacing w:line="240" w:lineRule="auto"/>
        <w:rPr>
          <w:rFonts w:ascii="Verdana" w:eastAsia="Verdana" w:hAnsi="Verdana" w:cs="Verdana"/>
        </w:rPr>
      </w:pPr>
      <w:r>
        <w:rPr>
          <w:rFonts w:ascii="Verdana" w:eastAsia="Verdana" w:hAnsi="Verdana" w:cs="Verdana"/>
        </w:rPr>
        <w:t>Fecha de entrada en vigencia:  9 de abril de 2010</w:t>
      </w:r>
    </w:p>
    <w:p w14:paraId="00000004" w14:textId="12E80D91" w:rsidR="00E72117" w:rsidRDefault="00000000">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 xml:space="preserve">Derogada por el artículo </w:t>
      </w:r>
      <w:r w:rsidR="00E72117">
        <w:rPr>
          <w:rFonts w:ascii="Verdana" w:eastAsia="Verdana" w:hAnsi="Verdana" w:cs="Verdana"/>
          <w:highlight w:val="white"/>
        </w:rPr>
        <w:t>8</w:t>
      </w:r>
      <w:r>
        <w:rPr>
          <w:rFonts w:ascii="Verdana" w:eastAsia="Verdana" w:hAnsi="Verdana" w:cs="Verdana"/>
          <w:highlight w:val="white"/>
        </w:rPr>
        <w:t xml:space="preserve"> de la Resolución 8707 de 2012</w:t>
      </w:r>
    </w:p>
    <w:p w14:paraId="00000005" w14:textId="77777777" w:rsidR="00E72117" w:rsidRDefault="00E72117">
      <w:pPr>
        <w:spacing w:line="240" w:lineRule="auto"/>
        <w:rPr>
          <w:rFonts w:ascii="Verdana" w:eastAsia="Verdana" w:hAnsi="Verdana" w:cs="Verdana"/>
        </w:rPr>
      </w:pPr>
    </w:p>
    <w:p w14:paraId="00000006" w14:textId="77777777" w:rsidR="00E72117" w:rsidRDefault="00000000">
      <w:pPr>
        <w:spacing w:line="240" w:lineRule="auto"/>
        <w:rPr>
          <w:rFonts w:ascii="Verdana" w:eastAsia="Verdana" w:hAnsi="Verdana" w:cs="Verdana"/>
        </w:rPr>
      </w:pPr>
      <w:r>
        <w:rPr>
          <w:rFonts w:ascii="Verdana" w:eastAsia="Verdana" w:hAnsi="Verdana" w:cs="Verdana"/>
        </w:rPr>
        <w:t>Fecha de publicación en Diario Oficial:9 de abril de 2010</w:t>
      </w:r>
    </w:p>
    <w:p w14:paraId="00000007" w14:textId="77777777" w:rsidR="00E72117" w:rsidRDefault="00000000">
      <w:pPr>
        <w:spacing w:line="240" w:lineRule="auto"/>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 xml:space="preserve">No. 47.675 </w:t>
      </w:r>
    </w:p>
    <w:p w14:paraId="00000008" w14:textId="77777777" w:rsidR="00E72117" w:rsidRDefault="00E72117">
      <w:pPr>
        <w:spacing w:line="240" w:lineRule="auto"/>
        <w:rPr>
          <w:rFonts w:ascii="Verdana" w:eastAsia="Verdana" w:hAnsi="Verdana" w:cs="Verdana"/>
        </w:rPr>
      </w:pPr>
    </w:p>
    <w:p w14:paraId="00000009" w14:textId="77777777" w:rsidR="00E72117" w:rsidRDefault="00000000">
      <w:pPr>
        <w:spacing w:after="160" w:line="240" w:lineRule="auto"/>
        <w:jc w:val="center"/>
        <w:rPr>
          <w:rFonts w:ascii="Verdana" w:eastAsia="Verdana" w:hAnsi="Verdana" w:cs="Verdana"/>
          <w:b/>
          <w:bCs/>
        </w:rPr>
      </w:pPr>
      <w:r>
        <w:rPr>
          <w:rFonts w:ascii="Verdana" w:eastAsia="Verdana" w:hAnsi="Verdana" w:cs="Verdana"/>
          <w:b/>
          <w:bCs/>
        </w:rPr>
        <w:t>RESOLUCIÓN 1361 2010</w:t>
      </w:r>
    </w:p>
    <w:p w14:paraId="0000000A" w14:textId="77777777" w:rsidR="00E72117" w:rsidRDefault="00000000">
      <w:pPr>
        <w:spacing w:after="160" w:line="240" w:lineRule="auto"/>
        <w:jc w:val="center"/>
        <w:rPr>
          <w:rFonts w:ascii="Verdana" w:eastAsia="Verdana" w:hAnsi="Verdana" w:cs="Verdana"/>
          <w:b/>
          <w:bCs/>
        </w:rPr>
      </w:pPr>
      <w:r>
        <w:rPr>
          <w:rFonts w:ascii="Verdana" w:eastAsia="Verdana" w:hAnsi="Verdana" w:cs="Verdana"/>
          <w:b/>
          <w:bCs/>
        </w:rPr>
        <w:t>(26 de marzo)</w:t>
      </w:r>
    </w:p>
    <w:p w14:paraId="0000000B" w14:textId="77777777" w:rsidR="00E72117"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E72117" w:rsidRDefault="00000000">
      <w:pPr>
        <w:jc w:val="center"/>
        <w:rPr>
          <w:rFonts w:ascii="Verdana" w:eastAsia="Verdana" w:hAnsi="Verdana" w:cs="Verdana"/>
          <w:highlight w:val="white"/>
        </w:rPr>
      </w:pPr>
      <w:r>
        <w:rPr>
          <w:rFonts w:ascii="Verdana" w:eastAsia="Verdana" w:hAnsi="Verdana" w:cs="Verdana"/>
          <w:highlight w:val="white"/>
        </w:rPr>
        <w:t>“Por la cual se estructura el Comité de Restablecimiento de Derechos y se deroga una resolución”.</w:t>
      </w:r>
    </w:p>
    <w:p w14:paraId="0000000D" w14:textId="77777777" w:rsidR="00E72117" w:rsidRDefault="00E72117">
      <w:pPr>
        <w:jc w:val="center"/>
        <w:rPr>
          <w:rFonts w:ascii="Verdana" w:eastAsia="Verdana" w:hAnsi="Verdana" w:cs="Verdana"/>
          <w:highlight w:val="white"/>
        </w:rPr>
      </w:pPr>
    </w:p>
    <w:p w14:paraId="0000000E" w14:textId="77777777" w:rsidR="00E72117"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17B97CA3" w:rsidR="00E72117" w:rsidRDefault="00000000">
      <w:pPr>
        <w:spacing w:after="280" w:line="426" w:lineRule="auto"/>
        <w:jc w:val="center"/>
        <w:rPr>
          <w:rFonts w:ascii="Verdana" w:eastAsia="Verdana" w:hAnsi="Verdana" w:cs="Verdana"/>
          <w:highlight w:val="white"/>
        </w:rPr>
      </w:pPr>
      <w:r>
        <w:rPr>
          <w:rFonts w:ascii="Verdana" w:eastAsia="Verdana" w:hAnsi="Verdana" w:cs="Verdana"/>
          <w:highlight w:val="white"/>
        </w:rPr>
        <w:t xml:space="preserve">en uso de sus facultades constitucionales y legales, en especial las consagradas en el artículo </w:t>
      </w:r>
      <w:r w:rsidR="00E72117">
        <w:rPr>
          <w:rFonts w:ascii="Verdana" w:eastAsia="Verdana" w:hAnsi="Verdana" w:cs="Verdana"/>
          <w:highlight w:val="white"/>
        </w:rPr>
        <w:t>78</w:t>
      </w:r>
      <w:r>
        <w:rPr>
          <w:rFonts w:ascii="Verdana" w:eastAsia="Verdana" w:hAnsi="Verdana" w:cs="Verdana"/>
          <w:highlight w:val="white"/>
        </w:rPr>
        <w:t xml:space="preserve"> de la Ley 489 de 1998, el artículo </w:t>
      </w:r>
      <w:r w:rsidR="00E72117">
        <w:rPr>
          <w:rFonts w:ascii="Verdana" w:eastAsia="Verdana" w:hAnsi="Verdana" w:cs="Verdana"/>
          <w:highlight w:val="white"/>
        </w:rPr>
        <w:t>27</w:t>
      </w:r>
      <w:r>
        <w:rPr>
          <w:rFonts w:ascii="Verdana" w:eastAsia="Verdana" w:hAnsi="Verdana" w:cs="Verdana"/>
          <w:highlight w:val="white"/>
        </w:rPr>
        <w:t xml:space="preserve"> del Decreto 1138 de 1999 y el Decreto </w:t>
      </w:r>
      <w:r w:rsidR="00E72117">
        <w:rPr>
          <w:rFonts w:ascii="Verdana" w:eastAsia="Verdana" w:hAnsi="Verdana" w:cs="Verdana"/>
          <w:highlight w:val="white"/>
        </w:rPr>
        <w:t>117</w:t>
      </w:r>
      <w:r>
        <w:rPr>
          <w:rFonts w:ascii="Verdana" w:eastAsia="Verdana" w:hAnsi="Verdana" w:cs="Verdana"/>
          <w:highlight w:val="white"/>
        </w:rPr>
        <w:t xml:space="preserve"> de 2010, y</w:t>
      </w:r>
    </w:p>
    <w:p w14:paraId="00000010" w14:textId="77777777" w:rsidR="00E72117"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10E04B87" w:rsidR="00E72117"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E72117">
        <w:rPr>
          <w:rFonts w:ascii="Verdana" w:eastAsia="Verdana" w:hAnsi="Verdana" w:cs="Verdana"/>
        </w:rPr>
        <w:t>209</w:t>
      </w:r>
      <w:r>
        <w:rPr>
          <w:rFonts w:ascii="Verdana" w:eastAsia="Verdana" w:hAnsi="Verdana" w:cs="Verdana"/>
        </w:rPr>
        <w:t xml:space="preserve">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00000012" w14:textId="2962FBDA" w:rsidR="00E72117" w:rsidRDefault="00000000">
      <w:pPr>
        <w:spacing w:after="280" w:line="426" w:lineRule="auto"/>
        <w:jc w:val="both"/>
        <w:rPr>
          <w:rFonts w:ascii="Verdana" w:eastAsia="Verdana" w:hAnsi="Verdana" w:cs="Verdana"/>
        </w:rPr>
      </w:pPr>
      <w:r>
        <w:rPr>
          <w:rFonts w:ascii="Verdana" w:eastAsia="Verdana" w:hAnsi="Verdana" w:cs="Verdana"/>
        </w:rPr>
        <w:t xml:space="preserve">Que la Ley </w:t>
      </w:r>
      <w:r w:rsidR="00E72117">
        <w:rPr>
          <w:rFonts w:ascii="Verdana" w:eastAsia="Verdana" w:hAnsi="Verdana" w:cs="Verdana"/>
        </w:rPr>
        <w:t>1098</w:t>
      </w:r>
      <w:r>
        <w:rPr>
          <w:rFonts w:ascii="Verdana" w:eastAsia="Verdana" w:hAnsi="Verdana" w:cs="Verdana"/>
        </w:rPr>
        <w:t xml:space="preserve"> de 2006, Código de la Infancia y la Adolescencia, establece el mandato de protección integral de los niños, niñas y adolescentes y el restablecimiento de sus derechos cuando se hayan vulnerado.</w:t>
      </w:r>
    </w:p>
    <w:p w14:paraId="00000013" w14:textId="7B3082BE" w:rsidR="00E72117" w:rsidRDefault="00000000">
      <w:pPr>
        <w:spacing w:after="280" w:line="426" w:lineRule="auto"/>
        <w:jc w:val="both"/>
        <w:rPr>
          <w:rFonts w:ascii="Verdana" w:eastAsia="Verdana" w:hAnsi="Verdana" w:cs="Verdana"/>
        </w:rPr>
      </w:pPr>
      <w:r>
        <w:rPr>
          <w:rFonts w:ascii="Verdana" w:eastAsia="Verdana" w:hAnsi="Verdana" w:cs="Verdana"/>
        </w:rPr>
        <w:t xml:space="preserve">Que las Leyes </w:t>
      </w:r>
      <w:r w:rsidR="00E72117">
        <w:rPr>
          <w:rFonts w:ascii="Verdana" w:eastAsia="Verdana" w:hAnsi="Verdana" w:cs="Verdana"/>
        </w:rPr>
        <w:t>7</w:t>
      </w:r>
      <w:r>
        <w:rPr>
          <w:rFonts w:ascii="Verdana" w:eastAsia="Verdana" w:hAnsi="Verdana" w:cs="Verdana"/>
        </w:rPr>
        <w:t xml:space="preserve">ª de 1979 y </w:t>
      </w:r>
      <w:r w:rsidR="00E72117">
        <w:rPr>
          <w:rFonts w:ascii="Verdana" w:eastAsia="Verdana" w:hAnsi="Verdana" w:cs="Verdana"/>
        </w:rPr>
        <w:t>1098</w:t>
      </w:r>
      <w:r>
        <w:rPr>
          <w:rFonts w:ascii="Verdana" w:eastAsia="Verdana" w:hAnsi="Verdana" w:cs="Verdana"/>
        </w:rPr>
        <w:t xml:space="preserve"> de 2006 establecen que el Instituto Colombiano de Bienestar Familiar es el ente rector, coordinador y articulador del Sistema Nacional de Bienestar Familiar, y en desarrollo de esa función le corresponde analizar y formular las líneas de acción frente a las problemáticas que ponen en </w:t>
      </w:r>
      <w:r>
        <w:rPr>
          <w:rFonts w:ascii="Verdana" w:eastAsia="Verdana" w:hAnsi="Verdana" w:cs="Verdana"/>
        </w:rPr>
        <w:lastRenderedPageBreak/>
        <w:t>alto riesgo de vulneración de derechos a los niños, niñas y adolescentes colombianos.</w:t>
      </w:r>
    </w:p>
    <w:p w14:paraId="00000014" w14:textId="7671977A" w:rsidR="00E72117" w:rsidRDefault="00000000">
      <w:pPr>
        <w:spacing w:after="280" w:line="426" w:lineRule="auto"/>
        <w:jc w:val="both"/>
        <w:rPr>
          <w:rFonts w:ascii="Verdana" w:eastAsia="Verdana" w:hAnsi="Verdana" w:cs="Verdana"/>
        </w:rPr>
      </w:pPr>
      <w:r>
        <w:rPr>
          <w:rFonts w:ascii="Verdana" w:eastAsia="Verdana" w:hAnsi="Verdana" w:cs="Verdana"/>
        </w:rPr>
        <w:t xml:space="preserve">Que la Resolución número </w:t>
      </w:r>
      <w:r w:rsidR="00E72117">
        <w:rPr>
          <w:rFonts w:ascii="Verdana" w:eastAsia="Verdana" w:hAnsi="Verdana" w:cs="Verdana"/>
        </w:rPr>
        <w:t>284</w:t>
      </w:r>
      <w:r>
        <w:rPr>
          <w:rFonts w:ascii="Verdana" w:eastAsia="Verdana" w:hAnsi="Verdana" w:cs="Verdana"/>
        </w:rPr>
        <w:t xml:space="preserve"> del 2 de febrero de 2009 creó el Comité de Restablecimiento de Derechos de la Dirección General.</w:t>
      </w:r>
    </w:p>
    <w:p w14:paraId="00000015" w14:textId="29305F4C" w:rsidR="00E72117" w:rsidRDefault="00000000">
      <w:pPr>
        <w:spacing w:after="280" w:line="426" w:lineRule="auto"/>
        <w:jc w:val="both"/>
        <w:rPr>
          <w:rFonts w:ascii="Verdana" w:eastAsia="Verdana" w:hAnsi="Verdana" w:cs="Verdana"/>
        </w:rPr>
      </w:pPr>
      <w:r>
        <w:rPr>
          <w:rFonts w:ascii="Verdana" w:eastAsia="Verdana" w:hAnsi="Verdana" w:cs="Verdana"/>
        </w:rPr>
        <w:t xml:space="preserve">Que el Decreto </w:t>
      </w:r>
      <w:r w:rsidR="00E72117">
        <w:rPr>
          <w:rFonts w:ascii="Verdana" w:eastAsia="Verdana" w:hAnsi="Verdana" w:cs="Verdana"/>
        </w:rPr>
        <w:t>117</w:t>
      </w:r>
      <w:r>
        <w:rPr>
          <w:rFonts w:ascii="Verdana" w:eastAsia="Verdana" w:hAnsi="Verdana" w:cs="Verdana"/>
        </w:rPr>
        <w:t xml:space="preserve"> del 21 de enero de 2010, “por el cual se aprueba la estructura del Instituto Colombiano de Bienestar Familiar - Cecilia de la Fuente de Lleras y se determinan las funciones de sus dependencias”, modificó la denominación de algunas de sus dependencias, que a su vez hacen parte del Comité de Restablecimiento de Derechos de la Dirección General, y en su artículo </w:t>
      </w:r>
      <w:r w:rsidR="00E72117">
        <w:rPr>
          <w:rFonts w:ascii="Verdana" w:eastAsia="Verdana" w:hAnsi="Verdana" w:cs="Verdana"/>
        </w:rPr>
        <w:t>26</w:t>
      </w:r>
      <w:r>
        <w:rPr>
          <w:rFonts w:ascii="Verdana" w:eastAsia="Verdana" w:hAnsi="Verdana" w:cs="Verdana"/>
        </w:rPr>
        <w:t>, numerales 2, 3 y 4, estableció que son funciones de la Subdirección de Restablecimiento de Derechos, entre otras, definir los lineamientos específicos para el Proceso Administrativo de Restablecimiento de Derechos y realizar investigaciones relacionadas con la vulneración de derechos de los niños, niñas y adolescentes en Colombia, con el objeto de entender mejor la problemática y definir acciones y programas dirigidos a disminuir la tasa de incidencia de casos y que sirvan de insumo a diferentes sectores del país para la atención a la población, así como participar en el diseño de la política institucional dirigida a la infancia y adolescencia a nivel de protección.</w:t>
      </w:r>
    </w:p>
    <w:p w14:paraId="00000016" w14:textId="77777777" w:rsidR="00E72117"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0000017" w14:textId="77777777" w:rsidR="00E72117"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8" w14:textId="47E3AE15" w:rsidR="00E72117" w:rsidRDefault="00000000">
      <w:pPr>
        <w:spacing w:after="280" w:line="426" w:lineRule="auto"/>
        <w:jc w:val="both"/>
        <w:rPr>
          <w:rFonts w:ascii="Verdana" w:eastAsia="Verdana" w:hAnsi="Verdana" w:cs="Verdana"/>
        </w:rPr>
      </w:pPr>
      <w:r>
        <w:rPr>
          <w:rFonts w:ascii="Verdana" w:eastAsia="Verdana" w:hAnsi="Verdana" w:cs="Verdana"/>
          <w:b/>
          <w:bCs/>
        </w:rPr>
        <w:t>ARTÍCULO 1o. OBJETO.</w:t>
      </w:r>
      <w:r>
        <w:rPr>
          <w:rFonts w:ascii="Verdana" w:eastAsia="Verdana" w:hAnsi="Verdana" w:cs="Verdana"/>
        </w:rPr>
        <w:t xml:space="preserve"> En el Instituto Colombiano de Bienestar Familiar - Cecilia de la Fuente de Lleras (ICBF) continuará operando el Comité de Restablecimiento de Derechos de la Dirección General, creado mediante la Resolución número </w:t>
      </w:r>
      <w:r w:rsidR="00E72117">
        <w:rPr>
          <w:rFonts w:ascii="Verdana" w:eastAsia="Verdana" w:hAnsi="Verdana" w:cs="Verdana"/>
        </w:rPr>
        <w:t>284</w:t>
      </w:r>
      <w:r>
        <w:rPr>
          <w:rFonts w:ascii="Verdana" w:eastAsia="Verdana" w:hAnsi="Verdana" w:cs="Verdana"/>
        </w:rPr>
        <w:t xml:space="preserve"> del 2 de febrero de 2009, con el objeto de analizar, formular líneas de acción y dar lineamientos frente a las problemáticas sociales que amenacen con vulnerar los derechos de los niños, niñas y adolescentes.</w:t>
      </w:r>
    </w:p>
    <w:p w14:paraId="00000019" w14:textId="578459C4" w:rsidR="00E72117"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2o. INTEGRACIÓN.</w:t>
      </w:r>
      <w:r>
        <w:rPr>
          <w:rFonts w:ascii="Verdana" w:eastAsia="Verdana" w:hAnsi="Verdana" w:cs="Verdana"/>
        </w:rPr>
        <w:t xml:space="preserve"> El Comité de Restablecimiento de Derechos de la Dirección General, estará integrado así:</w:t>
      </w:r>
    </w:p>
    <w:p w14:paraId="0000001A" w14:textId="77777777" w:rsidR="00E72117" w:rsidRDefault="00000000">
      <w:pPr>
        <w:spacing w:after="280" w:line="426" w:lineRule="auto"/>
        <w:jc w:val="both"/>
        <w:rPr>
          <w:rFonts w:ascii="Verdana" w:eastAsia="Verdana" w:hAnsi="Verdana" w:cs="Verdana"/>
        </w:rPr>
      </w:pPr>
      <w:r>
        <w:rPr>
          <w:rFonts w:ascii="Verdana" w:eastAsia="Verdana" w:hAnsi="Verdana" w:cs="Verdana"/>
        </w:rPr>
        <w:t>El Director de Protección, quien lo presidirá.</w:t>
      </w:r>
    </w:p>
    <w:p w14:paraId="0000001B" w14:textId="77777777" w:rsidR="00E72117" w:rsidRDefault="00000000">
      <w:pPr>
        <w:spacing w:after="280" w:line="426" w:lineRule="auto"/>
        <w:jc w:val="both"/>
        <w:rPr>
          <w:rFonts w:ascii="Verdana" w:eastAsia="Verdana" w:hAnsi="Verdana" w:cs="Verdana"/>
        </w:rPr>
      </w:pPr>
      <w:r>
        <w:rPr>
          <w:rFonts w:ascii="Verdana" w:eastAsia="Verdana" w:hAnsi="Verdana" w:cs="Verdana"/>
        </w:rPr>
        <w:t>El Subdirector de Restablecimiento de Derechos.</w:t>
      </w:r>
    </w:p>
    <w:p w14:paraId="0000001C" w14:textId="77777777" w:rsidR="00E72117" w:rsidRDefault="00000000">
      <w:pPr>
        <w:spacing w:after="280" w:line="426" w:lineRule="auto"/>
        <w:jc w:val="both"/>
        <w:rPr>
          <w:rFonts w:ascii="Verdana" w:eastAsia="Verdana" w:hAnsi="Verdana" w:cs="Verdana"/>
        </w:rPr>
      </w:pPr>
      <w:r>
        <w:rPr>
          <w:rFonts w:ascii="Verdana" w:eastAsia="Verdana" w:hAnsi="Verdana" w:cs="Verdana"/>
        </w:rPr>
        <w:t>El Jefe de la Oficina Asesora Jurídica.</w:t>
      </w:r>
    </w:p>
    <w:p w14:paraId="0000001D" w14:textId="77777777" w:rsidR="00E72117" w:rsidRDefault="00000000">
      <w:pPr>
        <w:spacing w:after="280" w:line="426" w:lineRule="auto"/>
        <w:jc w:val="both"/>
        <w:rPr>
          <w:rFonts w:ascii="Verdana" w:eastAsia="Verdana" w:hAnsi="Verdana" w:cs="Verdana"/>
        </w:rPr>
      </w:pPr>
      <w:r>
        <w:rPr>
          <w:rFonts w:ascii="Verdana" w:eastAsia="Verdana" w:hAnsi="Verdana" w:cs="Verdana"/>
        </w:rPr>
        <w:t>El Subdirector de Adopciones.</w:t>
      </w:r>
    </w:p>
    <w:p w14:paraId="0000001E" w14:textId="77777777" w:rsidR="00E72117" w:rsidRDefault="00000000">
      <w:pPr>
        <w:spacing w:after="280" w:line="426" w:lineRule="auto"/>
        <w:jc w:val="both"/>
        <w:rPr>
          <w:rFonts w:ascii="Verdana" w:eastAsia="Verdana" w:hAnsi="Verdana" w:cs="Verdana"/>
        </w:rPr>
      </w:pPr>
      <w:r>
        <w:rPr>
          <w:rFonts w:ascii="Verdana" w:eastAsia="Verdana" w:hAnsi="Verdana" w:cs="Verdana"/>
        </w:rPr>
        <w:t>Un Asesor de la Dirección General.</w:t>
      </w:r>
    </w:p>
    <w:p w14:paraId="0000001F" w14:textId="77777777" w:rsidR="00E72117" w:rsidRDefault="00000000">
      <w:pPr>
        <w:spacing w:after="280" w:line="426" w:lineRule="auto"/>
        <w:jc w:val="both"/>
        <w:rPr>
          <w:rFonts w:ascii="Verdana" w:eastAsia="Verdana" w:hAnsi="Verdana" w:cs="Verdana"/>
        </w:rPr>
      </w:pPr>
      <w:r>
        <w:rPr>
          <w:rFonts w:ascii="Verdana" w:eastAsia="Verdana" w:hAnsi="Verdana" w:cs="Verdana"/>
        </w:rPr>
        <w:t>PARÁGRAFO. Podrán asistir a las reuniones del Comité, como invitados, otros servidores públicos de las dependencias del ICBF, entidades públicas o privadas cuya presencia se considere conveniente para el análisis de los temas en el Comité.</w:t>
      </w:r>
    </w:p>
    <w:p w14:paraId="00000020" w14:textId="0B74AA5E" w:rsidR="00E72117" w:rsidRDefault="00000000">
      <w:pPr>
        <w:spacing w:after="280" w:line="426" w:lineRule="auto"/>
        <w:jc w:val="both"/>
        <w:rPr>
          <w:rFonts w:ascii="Verdana" w:eastAsia="Verdana" w:hAnsi="Verdana" w:cs="Verdana"/>
        </w:rPr>
      </w:pPr>
      <w:r>
        <w:rPr>
          <w:rFonts w:ascii="Verdana" w:eastAsia="Verdana" w:hAnsi="Verdana" w:cs="Verdana"/>
          <w:b/>
          <w:bCs/>
        </w:rPr>
        <w:t xml:space="preserve">ARTÍCULO 3o. FUNCIONES DEL COMITÉ DE RESTABLECIMIENTO DE DERECHOS. </w:t>
      </w:r>
      <w:r>
        <w:rPr>
          <w:rFonts w:ascii="Verdana" w:eastAsia="Verdana" w:hAnsi="Verdana" w:cs="Verdana"/>
        </w:rPr>
        <w:t>Son funciones del Comité las siguientes:</w:t>
      </w:r>
    </w:p>
    <w:p w14:paraId="00000021" w14:textId="77777777" w:rsidR="00E72117" w:rsidRDefault="00000000">
      <w:pPr>
        <w:spacing w:after="280" w:line="426" w:lineRule="auto"/>
        <w:jc w:val="both"/>
        <w:rPr>
          <w:rFonts w:ascii="Verdana" w:eastAsia="Verdana" w:hAnsi="Verdana" w:cs="Verdana"/>
        </w:rPr>
      </w:pPr>
      <w:r>
        <w:rPr>
          <w:rFonts w:ascii="Verdana" w:eastAsia="Verdana" w:hAnsi="Verdana" w:cs="Verdana"/>
        </w:rPr>
        <w:t>1. Analizar los fenómenos sociales que amenazan con vulnerar los derechos de los niños, niñas y adolescentes y formular las líneas de acción que deba adoptar el Instituto para contrarrestar dichas problemáticas.</w:t>
      </w:r>
    </w:p>
    <w:p w14:paraId="00000022" w14:textId="77777777" w:rsidR="00E72117" w:rsidRDefault="00000000">
      <w:pPr>
        <w:spacing w:after="280" w:line="426" w:lineRule="auto"/>
        <w:jc w:val="both"/>
        <w:rPr>
          <w:rFonts w:ascii="Verdana" w:eastAsia="Verdana" w:hAnsi="Verdana" w:cs="Verdana"/>
        </w:rPr>
      </w:pPr>
      <w:r>
        <w:rPr>
          <w:rFonts w:ascii="Verdana" w:eastAsia="Verdana" w:hAnsi="Verdana" w:cs="Verdana"/>
        </w:rPr>
        <w:t>2. Monitorear y hacer seguimiento permanente a la aplicación de los lineamientos técnicos aprobados en el Instituto sobre las problemáticas de vulneración de derechos, identificar los problemas en la aplicación y formular recomendaciones de modificación y ajuste que se requieran.</w:t>
      </w:r>
    </w:p>
    <w:p w14:paraId="00000023" w14:textId="77777777" w:rsidR="00E72117" w:rsidRDefault="00000000">
      <w:pPr>
        <w:spacing w:after="280" w:line="426" w:lineRule="auto"/>
        <w:jc w:val="both"/>
        <w:rPr>
          <w:rFonts w:ascii="Verdana" w:eastAsia="Verdana" w:hAnsi="Verdana" w:cs="Verdana"/>
        </w:rPr>
      </w:pPr>
      <w:r>
        <w:rPr>
          <w:rFonts w:ascii="Verdana" w:eastAsia="Verdana" w:hAnsi="Verdana" w:cs="Verdana"/>
        </w:rPr>
        <w:t>3. Promover la adopción de nuevos lineamientos técnicos de acuerdo con el análisis de las problemáticas que afectan a la niñez colombiana y que requieran el restablecimiento de los derechos.</w:t>
      </w:r>
    </w:p>
    <w:p w14:paraId="00000024" w14:textId="77777777" w:rsidR="00E72117" w:rsidRDefault="00000000">
      <w:pPr>
        <w:spacing w:after="280" w:line="426" w:lineRule="auto"/>
        <w:jc w:val="both"/>
        <w:rPr>
          <w:rFonts w:ascii="Verdana" w:eastAsia="Verdana" w:hAnsi="Verdana" w:cs="Verdana"/>
        </w:rPr>
      </w:pPr>
      <w:r>
        <w:rPr>
          <w:rFonts w:ascii="Verdana" w:eastAsia="Verdana" w:hAnsi="Verdana" w:cs="Verdana"/>
        </w:rPr>
        <w:lastRenderedPageBreak/>
        <w:t>4. Proponer la expedición de los actos administrativos de carácter general que se requieran para adoptar las líneas de acción que se definan en el Comité, relacionadas con el restablecimiento de derechos.</w:t>
      </w:r>
    </w:p>
    <w:p w14:paraId="00000025" w14:textId="77777777" w:rsidR="00E72117" w:rsidRDefault="00000000">
      <w:pPr>
        <w:spacing w:after="280" w:line="426" w:lineRule="auto"/>
        <w:jc w:val="both"/>
        <w:rPr>
          <w:rFonts w:ascii="Verdana" w:eastAsia="Verdana" w:hAnsi="Verdana" w:cs="Verdana"/>
        </w:rPr>
      </w:pPr>
      <w:r>
        <w:rPr>
          <w:rFonts w:ascii="Verdana" w:eastAsia="Verdana" w:hAnsi="Verdana" w:cs="Verdana"/>
        </w:rPr>
        <w:t>5. Estudiar y dar respuesta a las consultas que sean puestas a su consideración por las diferentes dependencias del Instituto relacionadas con la vulneración y el restablecimiento de los derechos de los niños, niñas y adolescentes.</w:t>
      </w:r>
    </w:p>
    <w:p w14:paraId="00000026" w14:textId="77777777" w:rsidR="00E72117" w:rsidRDefault="00000000">
      <w:pPr>
        <w:spacing w:after="280" w:line="426" w:lineRule="auto"/>
        <w:jc w:val="both"/>
        <w:rPr>
          <w:rFonts w:ascii="Verdana" w:eastAsia="Verdana" w:hAnsi="Verdana" w:cs="Verdana"/>
        </w:rPr>
      </w:pPr>
      <w:r>
        <w:rPr>
          <w:rFonts w:ascii="Verdana" w:eastAsia="Verdana" w:hAnsi="Verdana" w:cs="Verdana"/>
        </w:rPr>
        <w:t>6. Informar, por lo menos cada seis (6) meses, a la Dirección General sobre las tareas que le hayan sido encomendadas.</w:t>
      </w:r>
    </w:p>
    <w:p w14:paraId="00000027" w14:textId="15B89CC9" w:rsidR="00E72117" w:rsidRDefault="00000000">
      <w:pPr>
        <w:spacing w:after="280" w:line="426" w:lineRule="auto"/>
        <w:jc w:val="both"/>
        <w:rPr>
          <w:rFonts w:ascii="Verdana" w:eastAsia="Verdana" w:hAnsi="Verdana" w:cs="Verdana"/>
        </w:rPr>
      </w:pPr>
      <w:r>
        <w:rPr>
          <w:rFonts w:ascii="Verdana" w:eastAsia="Verdana" w:hAnsi="Verdana" w:cs="Verdana"/>
          <w:b/>
          <w:bCs/>
        </w:rPr>
        <w:t xml:space="preserve">ARTÍCULO 4o. SECRETARÍA TÉCNICA. </w:t>
      </w:r>
      <w:r>
        <w:rPr>
          <w:rFonts w:ascii="Verdana" w:eastAsia="Verdana" w:hAnsi="Verdana" w:cs="Verdana"/>
        </w:rPr>
        <w:t>La Secretaría Técnica del Comité de Restablecimiento de Derechos estará a cargo del Subdirector de Restablecimiento de Derechos.</w:t>
      </w:r>
    </w:p>
    <w:p w14:paraId="00000028" w14:textId="66638D2E" w:rsidR="00E72117" w:rsidRDefault="00000000">
      <w:pPr>
        <w:spacing w:after="280" w:line="426" w:lineRule="auto"/>
        <w:jc w:val="both"/>
        <w:rPr>
          <w:rFonts w:ascii="Verdana" w:eastAsia="Verdana" w:hAnsi="Verdana" w:cs="Verdana"/>
        </w:rPr>
      </w:pPr>
      <w:r>
        <w:rPr>
          <w:rFonts w:ascii="Verdana" w:eastAsia="Verdana" w:hAnsi="Verdana" w:cs="Verdana"/>
          <w:b/>
          <w:bCs/>
        </w:rPr>
        <w:t>ARTÍCULO 5o. REUNIONES.</w:t>
      </w:r>
      <w:r>
        <w:rPr>
          <w:rFonts w:ascii="Verdana" w:eastAsia="Verdana" w:hAnsi="Verdana" w:cs="Verdana"/>
        </w:rPr>
        <w:t xml:space="preserve"> El Comité se reunirá ordinariamente por lo menos una vez al mes, previa convocación de cualquiera de sus miembros, y extraordinariamente cuando se requiera.</w:t>
      </w:r>
    </w:p>
    <w:p w14:paraId="00000029" w14:textId="142C0677" w:rsidR="00E72117" w:rsidRDefault="00000000">
      <w:pPr>
        <w:spacing w:after="280" w:line="426" w:lineRule="auto"/>
        <w:jc w:val="both"/>
        <w:rPr>
          <w:rFonts w:ascii="Verdana" w:eastAsia="Verdana" w:hAnsi="Verdana" w:cs="Verdana"/>
        </w:rPr>
      </w:pPr>
      <w:r>
        <w:rPr>
          <w:rFonts w:ascii="Verdana" w:eastAsia="Verdana" w:hAnsi="Verdana" w:cs="Verdana"/>
          <w:b/>
          <w:bCs/>
        </w:rPr>
        <w:t xml:space="preserve">ARTÍCULO 6o. QUÓRUM DELIBERATORIO Y DECISORIO. </w:t>
      </w:r>
      <w:r>
        <w:rPr>
          <w:rFonts w:ascii="Verdana" w:eastAsia="Verdana" w:hAnsi="Verdana" w:cs="Verdana"/>
        </w:rPr>
        <w:t>Se constituirá quórum deliberatorio con la participación de por lo menos tres (3) de los miembros del Comité y las decisiones se adoptarán por mayoría simple.</w:t>
      </w:r>
    </w:p>
    <w:p w14:paraId="0000002A" w14:textId="77777777" w:rsidR="00E72117"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Las decisiones, recomendaciones y conceptos del Comité se adoptarán y expedirán por los miembros que asistan a la respectiva sesión y serán suscritos por todos los miembros.</w:t>
      </w:r>
    </w:p>
    <w:p w14:paraId="0000002B" w14:textId="27CF2B8D" w:rsidR="00E72117" w:rsidRDefault="00000000">
      <w:pPr>
        <w:spacing w:after="280" w:line="426" w:lineRule="auto"/>
        <w:jc w:val="both"/>
        <w:rPr>
          <w:rFonts w:ascii="Verdana" w:eastAsia="Verdana" w:hAnsi="Verdana" w:cs="Verdana"/>
        </w:rPr>
      </w:pPr>
      <w:r>
        <w:rPr>
          <w:rFonts w:ascii="Verdana" w:eastAsia="Verdana" w:hAnsi="Verdana" w:cs="Verdana"/>
          <w:b/>
          <w:bCs/>
        </w:rPr>
        <w:t>ARTÍCULO 7o. VIGENCIA Y DEROGACIONES.</w:t>
      </w:r>
      <w:r>
        <w:rPr>
          <w:rFonts w:ascii="Verdana" w:eastAsia="Verdana" w:hAnsi="Verdana" w:cs="Verdana"/>
        </w:rPr>
        <w:t xml:space="preserve"> </w:t>
      </w:r>
      <w:r w:rsidR="007E340A">
        <w:rPr>
          <w:rFonts w:ascii="Verdana" w:eastAsia="Verdana" w:hAnsi="Verdana" w:cs="Verdana"/>
        </w:rPr>
        <w:t>[</w:t>
      </w:r>
      <w:r>
        <w:rPr>
          <w:rFonts w:ascii="Verdana" w:eastAsia="Verdana" w:hAnsi="Verdana" w:cs="Verdana"/>
        </w:rPr>
        <w:t xml:space="preserve">Resolución derogada por el artículo </w:t>
      </w:r>
      <w:r w:rsidR="00E72117">
        <w:rPr>
          <w:rFonts w:ascii="Verdana" w:eastAsia="Verdana" w:hAnsi="Verdana" w:cs="Verdana"/>
        </w:rPr>
        <w:t>8</w:t>
      </w:r>
      <w:r>
        <w:rPr>
          <w:rFonts w:ascii="Verdana" w:eastAsia="Verdana" w:hAnsi="Verdana" w:cs="Verdana"/>
        </w:rPr>
        <w:t xml:space="preserve"> de la Resolución 8707 de 2012</w:t>
      </w:r>
      <w:r w:rsidR="007E340A">
        <w:rPr>
          <w:rFonts w:ascii="Verdana" w:eastAsia="Verdana" w:hAnsi="Verdana" w:cs="Verdana"/>
        </w:rPr>
        <w:t>]</w:t>
      </w:r>
      <w:r>
        <w:rPr>
          <w:rFonts w:ascii="Verdana" w:eastAsia="Verdana" w:hAnsi="Verdana" w:cs="Verdana"/>
        </w:rPr>
        <w:t xml:space="preserve"> La presente resolución rige a partir de la fecha de su publicación y deroga la Resolución número </w:t>
      </w:r>
      <w:r w:rsidR="00E72117">
        <w:rPr>
          <w:rFonts w:ascii="Verdana" w:eastAsia="Verdana" w:hAnsi="Verdana" w:cs="Verdana"/>
        </w:rPr>
        <w:t>284</w:t>
      </w:r>
      <w:r>
        <w:rPr>
          <w:rFonts w:ascii="Verdana" w:eastAsia="Verdana" w:hAnsi="Verdana" w:cs="Verdana"/>
        </w:rPr>
        <w:t xml:space="preserve"> del 2 de febrero de 2009 y las demás disposiciones que le sean contrarias.</w:t>
      </w:r>
    </w:p>
    <w:p w14:paraId="0000002C" w14:textId="77777777" w:rsidR="00E72117" w:rsidRDefault="00000000">
      <w:pPr>
        <w:spacing w:after="280" w:line="426" w:lineRule="auto"/>
        <w:jc w:val="center"/>
        <w:rPr>
          <w:rFonts w:ascii="Verdana" w:eastAsia="Verdana" w:hAnsi="Verdana" w:cs="Verdana"/>
          <w:b/>
          <w:bCs/>
        </w:rPr>
      </w:pPr>
      <w:r>
        <w:rPr>
          <w:rFonts w:ascii="Verdana" w:eastAsia="Verdana" w:hAnsi="Verdana" w:cs="Verdana"/>
          <w:b/>
          <w:bCs/>
        </w:rPr>
        <w:t>PUBLÍQUESE, COMUNÍQUESE Y CÚMPLASE</w:t>
      </w:r>
    </w:p>
    <w:p w14:paraId="0000002D" w14:textId="77777777" w:rsidR="00E72117" w:rsidRDefault="00000000">
      <w:pPr>
        <w:spacing w:after="280" w:line="426" w:lineRule="auto"/>
        <w:jc w:val="center"/>
        <w:rPr>
          <w:rFonts w:ascii="Verdana" w:eastAsia="Verdana" w:hAnsi="Verdana" w:cs="Verdana"/>
        </w:rPr>
      </w:pPr>
      <w:r>
        <w:rPr>
          <w:rFonts w:ascii="Verdana" w:eastAsia="Verdana" w:hAnsi="Verdana" w:cs="Verdana"/>
        </w:rPr>
        <w:lastRenderedPageBreak/>
        <w:t>Dada en Bogotá, D. C., a 26 días de marzo de 2010.</w:t>
      </w:r>
    </w:p>
    <w:p w14:paraId="0000002E" w14:textId="77777777" w:rsidR="00E72117"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2F" w14:textId="77777777" w:rsidR="00E72117"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30" w14:textId="77777777" w:rsidR="00E72117" w:rsidRDefault="00E72117">
      <w:pPr>
        <w:rPr>
          <w:rFonts w:ascii="Verdana" w:eastAsia="Verdana" w:hAnsi="Verdana" w:cs="Verdana"/>
        </w:rPr>
      </w:pPr>
    </w:p>
    <w:sectPr w:rsidR="00E721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C5DB2E0-B256-4C8E-9E8B-AFC77B467836}"/>
    <w:embedBold r:id="rId2" w:fontKey="{BDD0D927-C8D9-4588-8DD2-494BD803A44A}"/>
  </w:font>
  <w:font w:name="Calibri">
    <w:panose1 w:val="020F0502020204030204"/>
    <w:charset w:val="00"/>
    <w:family w:val="swiss"/>
    <w:pitch w:val="variable"/>
    <w:sig w:usb0="E4002EFF" w:usb1="C200247B" w:usb2="00000009" w:usb3="00000000" w:csb0="000001FF" w:csb1="00000000"/>
    <w:embedRegular r:id="rId3" w:fontKey="{CC04ED76-33A0-472C-ABE1-941B349DF6A4}"/>
  </w:font>
  <w:font w:name="Cambria">
    <w:panose1 w:val="02040503050406030204"/>
    <w:charset w:val="00"/>
    <w:family w:val="roman"/>
    <w:pitch w:val="variable"/>
    <w:sig w:usb0="E00006FF" w:usb1="420024FF" w:usb2="02000000" w:usb3="00000000" w:csb0="0000019F" w:csb1="00000000"/>
    <w:embedRegular r:id="rId4" w:fontKey="{2C4FC6ED-F16C-47B9-B1A0-AE7DAE88A6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117"/>
    <w:rsid w:val="00283EE3"/>
    <w:rsid w:val="007E340A"/>
    <w:rsid w:val="00E4712C"/>
    <w:rsid w:val="00E72117"/>
    <w:rsid w:val="00F439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8EF0"/>
  <w15:docId w15:val="{C6A67E78-61A1-4A32-91C6-78FB1E6F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80283B-4CB7-41C7-A0AD-BBB937BF9D63}"/>
</file>

<file path=customXml/itemProps2.xml><?xml version="1.0" encoding="utf-8"?>
<ds:datastoreItem xmlns:ds="http://schemas.openxmlformats.org/officeDocument/2006/customXml" ds:itemID="{8BA77905-AA54-4B4E-BDEC-3AD389FEEBBA}"/>
</file>

<file path=customXml/itemProps3.xml><?xml version="1.0" encoding="utf-8"?>
<ds:datastoreItem xmlns:ds="http://schemas.openxmlformats.org/officeDocument/2006/customXml" ds:itemID="{4C462117-0CC2-4228-B258-7AB96B56632C}"/>
</file>

<file path=docProps/app.xml><?xml version="1.0" encoding="utf-8"?>
<Properties xmlns="http://schemas.openxmlformats.org/officeDocument/2006/extended-properties" xmlns:vt="http://schemas.openxmlformats.org/officeDocument/2006/docPropsVTypes">
  <Template>Normal</Template>
  <TotalTime>1</TotalTime>
  <Pages>1</Pages>
  <Words>989</Words>
  <Characters>5443</Characters>
  <Application>Microsoft Office Word</Application>
  <DocSecurity>0</DocSecurity>
  <Lines>45</Lines>
  <Paragraphs>12</Paragraphs>
  <ScaleCrop>false</ScaleCrop>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2026-01-28T15:51:00Z</dcterms:created>
  <dcterms:modified xsi:type="dcterms:W3CDTF">2026-04-15T15:53:00Z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