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D0D0" w14:textId="289E7342" w:rsidR="00434EA7" w:rsidRDefault="37E77601" w:rsidP="0AFE4EDC">
      <w:pPr>
        <w:jc w:val="center"/>
        <w:rPr>
          <w:rFonts w:ascii="Verdana" w:eastAsia="Verdana" w:hAnsi="Verdana" w:cs="Verdana"/>
          <w:color w:val="000000" w:themeColor="text1"/>
          <w:sz w:val="22"/>
          <w:szCs w:val="22"/>
        </w:rPr>
      </w:pPr>
      <w:r w:rsidRPr="0AFE4EDC">
        <w:rPr>
          <w:rFonts w:ascii="Verdana" w:eastAsia="Verdana" w:hAnsi="Verdana" w:cs="Verdana"/>
          <w:b/>
          <w:bCs/>
          <w:color w:val="000000" w:themeColor="text1"/>
          <w:sz w:val="22"/>
          <w:szCs w:val="22"/>
        </w:rPr>
        <w:t xml:space="preserve">RESOLUCIÓN 136 DE 1989  </w:t>
      </w:r>
    </w:p>
    <w:p w14:paraId="20E0F492" w14:textId="7B353E40" w:rsidR="002A0242" w:rsidRPr="002A0242" w:rsidRDefault="002A0242" w:rsidP="002A0242">
      <w:pPr>
        <w:pStyle w:val="Sinespaciado"/>
        <w:rPr>
          <w:rFonts w:ascii="Verdana" w:hAnsi="Verdana"/>
          <w:sz w:val="20"/>
          <w:szCs w:val="20"/>
        </w:rPr>
      </w:pPr>
      <w:r w:rsidRPr="002A0242">
        <w:rPr>
          <w:rFonts w:ascii="Verdana" w:hAnsi="Verdana"/>
          <w:sz w:val="20"/>
          <w:szCs w:val="20"/>
        </w:rPr>
        <w:t>Fecha de Expedición: 2 de febrero de 1989</w:t>
      </w:r>
    </w:p>
    <w:p w14:paraId="0BD03615" w14:textId="5CE93F7B" w:rsidR="002A0242" w:rsidRPr="002A0242" w:rsidRDefault="002A0242" w:rsidP="002A0242">
      <w:pPr>
        <w:pStyle w:val="Sinespaciado"/>
        <w:rPr>
          <w:rFonts w:ascii="Verdana" w:hAnsi="Verdana"/>
          <w:sz w:val="20"/>
          <w:szCs w:val="20"/>
        </w:rPr>
      </w:pPr>
      <w:r w:rsidRPr="002A0242">
        <w:rPr>
          <w:rFonts w:ascii="Verdana" w:hAnsi="Verdana"/>
          <w:sz w:val="20"/>
          <w:szCs w:val="20"/>
        </w:rPr>
        <w:t xml:space="preserve">Fecha de entrada en vigencia: 2 de febrero de 1989  </w:t>
      </w:r>
    </w:p>
    <w:p w14:paraId="50178567" w14:textId="44A22505" w:rsidR="002A0242" w:rsidRDefault="002A0242" w:rsidP="002A0242">
      <w:pPr>
        <w:pStyle w:val="Sinespaciado"/>
        <w:rPr>
          <w:rFonts w:ascii="Verdana" w:hAnsi="Verdana"/>
          <w:sz w:val="20"/>
          <w:szCs w:val="20"/>
        </w:rPr>
      </w:pPr>
      <w:r w:rsidRPr="002A0242">
        <w:rPr>
          <w:rFonts w:ascii="Verdana" w:hAnsi="Verdana"/>
          <w:sz w:val="20"/>
          <w:szCs w:val="20"/>
        </w:rPr>
        <w:t>Estado de la vigencia: derogada por el artículo 4 de la Resolución 1522 de 1996</w:t>
      </w:r>
      <w:r w:rsidRPr="002A0242">
        <w:rPr>
          <w:rFonts w:ascii="Verdana" w:hAnsi="Verdana"/>
          <w:sz w:val="20"/>
          <w:szCs w:val="20"/>
        </w:rPr>
        <w:tab/>
      </w:r>
    </w:p>
    <w:p w14:paraId="2514A289" w14:textId="77777777" w:rsidR="002A0242" w:rsidRDefault="002A0242" w:rsidP="002A0242">
      <w:pPr>
        <w:pStyle w:val="Sinespaciado"/>
        <w:rPr>
          <w:rFonts w:ascii="Verdana" w:hAnsi="Verdana"/>
          <w:sz w:val="20"/>
          <w:szCs w:val="20"/>
        </w:rPr>
      </w:pPr>
    </w:p>
    <w:p w14:paraId="1302113E" w14:textId="3165AFC3" w:rsidR="002A0242" w:rsidRPr="002A0242" w:rsidRDefault="002A0242" w:rsidP="002A0242">
      <w:pPr>
        <w:pStyle w:val="Sinespaciado"/>
        <w:rPr>
          <w:rFonts w:ascii="Verdana" w:hAnsi="Verdana"/>
          <w:sz w:val="20"/>
          <w:szCs w:val="20"/>
        </w:rPr>
      </w:pPr>
      <w:r w:rsidRPr="002A0242">
        <w:rPr>
          <w:rFonts w:ascii="Verdana" w:hAnsi="Verdana"/>
          <w:sz w:val="20"/>
          <w:szCs w:val="20"/>
        </w:rPr>
        <w:t>Fecha de publicación en Diario Oficial: N/A</w:t>
      </w:r>
    </w:p>
    <w:p w14:paraId="39A36B8B" w14:textId="515C29F3" w:rsidR="00434EA7" w:rsidRDefault="002A0242" w:rsidP="002A0242">
      <w:pPr>
        <w:pStyle w:val="Sinespaciado"/>
        <w:rPr>
          <w:rFonts w:ascii="Verdana" w:hAnsi="Verdana"/>
          <w:sz w:val="20"/>
          <w:szCs w:val="20"/>
        </w:rPr>
      </w:pPr>
      <w:r w:rsidRPr="002A0242">
        <w:rPr>
          <w:rFonts w:ascii="Verdana" w:hAnsi="Verdana"/>
          <w:sz w:val="20"/>
          <w:szCs w:val="20"/>
        </w:rPr>
        <w:t>Número del Diario Oficial: N/A</w:t>
      </w:r>
    </w:p>
    <w:p w14:paraId="1CA0B916" w14:textId="77777777" w:rsidR="002A0242" w:rsidRPr="002A0242" w:rsidRDefault="002A0242" w:rsidP="002A0242">
      <w:pPr>
        <w:pStyle w:val="Sinespaciado"/>
        <w:rPr>
          <w:rFonts w:ascii="Verdana" w:hAnsi="Verdana"/>
          <w:sz w:val="20"/>
          <w:szCs w:val="20"/>
        </w:rPr>
      </w:pPr>
    </w:p>
    <w:p w14:paraId="3D47E1AC" w14:textId="39D22E9C"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RESOLUCIÓN 136 DE 1989</w:t>
      </w:r>
    </w:p>
    <w:p w14:paraId="317BA6D0" w14:textId="58FD3DCE"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 xml:space="preserve">(2 </w:t>
      </w:r>
      <w:r w:rsidR="3BE39284" w:rsidRPr="0AFE4EDC">
        <w:rPr>
          <w:rFonts w:ascii="Verdana" w:eastAsia="Verdana" w:hAnsi="Verdana" w:cs="Verdana"/>
          <w:b/>
          <w:bCs/>
          <w:sz w:val="22"/>
          <w:szCs w:val="22"/>
        </w:rPr>
        <w:t xml:space="preserve">de </w:t>
      </w:r>
      <w:r w:rsidRPr="0AFE4EDC">
        <w:rPr>
          <w:rFonts w:ascii="Verdana" w:eastAsia="Verdana" w:hAnsi="Verdana" w:cs="Verdana"/>
          <w:b/>
          <w:bCs/>
          <w:sz w:val="22"/>
          <w:szCs w:val="22"/>
        </w:rPr>
        <w:t>febrero)</w:t>
      </w:r>
    </w:p>
    <w:p w14:paraId="43040234" w14:textId="6B6631F0"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INSTITUTO COLOMBIANO DE BIENESTAR FAMILIAR</w:t>
      </w:r>
    </w:p>
    <w:p w14:paraId="498C30D1" w14:textId="136578AC" w:rsidR="00434EA7" w:rsidRDefault="6330FF0E" w:rsidP="0AFE4EDC">
      <w:pPr>
        <w:jc w:val="center"/>
        <w:rPr>
          <w:rFonts w:ascii="Verdana" w:eastAsia="Verdana" w:hAnsi="Verdana" w:cs="Verdana"/>
          <w:sz w:val="22"/>
          <w:szCs w:val="22"/>
        </w:rPr>
      </w:pPr>
      <w:r w:rsidRPr="0AFE4EDC">
        <w:rPr>
          <w:rFonts w:ascii="Verdana" w:eastAsia="Verdana" w:hAnsi="Verdana" w:cs="Verdana"/>
          <w:sz w:val="22"/>
          <w:szCs w:val="22"/>
        </w:rPr>
        <w:t>“Por la cual se reglamenta la destinación de los sobrantes que puedan presentarse en los recursos que manejan las Asociaciones de Bienestar”</w:t>
      </w:r>
    </w:p>
    <w:p w14:paraId="7422F2F6" w14:textId="0DE1824C"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EL DIRECTOR GENERAL DEL INSTITUTO COLOMBIANO DE BIENESTAR FAMILIAR</w:t>
      </w:r>
    </w:p>
    <w:p w14:paraId="4D80EE79" w14:textId="22D56104" w:rsidR="00434EA7" w:rsidRDefault="6330FF0E" w:rsidP="0AFE4EDC">
      <w:pPr>
        <w:jc w:val="center"/>
        <w:rPr>
          <w:rFonts w:ascii="Verdana" w:eastAsia="Verdana" w:hAnsi="Verdana" w:cs="Verdana"/>
          <w:sz w:val="22"/>
          <w:szCs w:val="22"/>
        </w:rPr>
      </w:pPr>
      <w:r w:rsidRPr="0AFE4EDC">
        <w:rPr>
          <w:rFonts w:ascii="Verdana" w:eastAsia="Verdana" w:hAnsi="Verdana" w:cs="Verdana"/>
          <w:sz w:val="22"/>
          <w:szCs w:val="22"/>
        </w:rPr>
        <w:t>en uso de sus facultades legales y estatutarias.</w:t>
      </w:r>
    </w:p>
    <w:p w14:paraId="3D3A8189" w14:textId="16ED9808"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CONSIDERANDO:</w:t>
      </w:r>
    </w:p>
    <w:p w14:paraId="70078FAA" w14:textId="3F5D6492" w:rsidR="00434EA7" w:rsidRDefault="6330FF0E" w:rsidP="0AFE4EDC">
      <w:pPr>
        <w:pStyle w:val="Prrafodelista"/>
        <w:numPr>
          <w:ilvl w:val="0"/>
          <w:numId w:val="2"/>
        </w:numPr>
        <w:jc w:val="both"/>
        <w:rPr>
          <w:rFonts w:ascii="Verdana" w:eastAsia="Verdana" w:hAnsi="Verdana" w:cs="Verdana"/>
          <w:sz w:val="22"/>
          <w:szCs w:val="22"/>
        </w:rPr>
      </w:pPr>
      <w:r w:rsidRPr="0AFE4EDC">
        <w:rPr>
          <w:rFonts w:ascii="Verdana" w:eastAsia="Verdana" w:hAnsi="Verdana" w:cs="Verdana"/>
          <w:sz w:val="22"/>
          <w:szCs w:val="22"/>
        </w:rPr>
        <w:t>Que es posible que en la administración de las Asociaciones de Hogares de Bienestar queden remanentes en los recursos asignados, bien sea por baja en los precios, ausencias temporales, o no asistencia de la madre auxiliar.</w:t>
      </w:r>
    </w:p>
    <w:p w14:paraId="69D49D5D" w14:textId="26B604C1"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RESUELVE:</w:t>
      </w:r>
    </w:p>
    <w:p w14:paraId="637D9AF0" w14:textId="67BEC4EB" w:rsidR="00434EA7" w:rsidRDefault="6330FF0E" w:rsidP="0AFE4EDC">
      <w:pPr>
        <w:jc w:val="both"/>
        <w:rPr>
          <w:rFonts w:ascii="Verdana" w:eastAsia="Verdana" w:hAnsi="Verdana" w:cs="Verdana"/>
          <w:sz w:val="22"/>
          <w:szCs w:val="22"/>
        </w:rPr>
      </w:pPr>
      <w:r w:rsidRPr="0AFE4EDC">
        <w:rPr>
          <w:rFonts w:ascii="Verdana" w:eastAsia="Verdana" w:hAnsi="Verdana" w:cs="Verdana"/>
          <w:b/>
          <w:bCs/>
          <w:sz w:val="22"/>
          <w:szCs w:val="22"/>
        </w:rPr>
        <w:t xml:space="preserve">ARTÍCULO 1o. </w:t>
      </w:r>
      <w:r w:rsidR="0DB5FDED" w:rsidRPr="0AFE4EDC">
        <w:rPr>
          <w:rFonts w:ascii="Verdana" w:eastAsia="Verdana" w:hAnsi="Verdana" w:cs="Verdana"/>
          <w:sz w:val="22"/>
          <w:szCs w:val="22"/>
        </w:rPr>
        <w:t>[</w:t>
      </w:r>
      <w:r w:rsidRPr="0AFE4EDC">
        <w:rPr>
          <w:rFonts w:ascii="Verdana" w:eastAsia="Verdana" w:hAnsi="Verdana" w:cs="Verdana"/>
          <w:sz w:val="22"/>
          <w:szCs w:val="22"/>
        </w:rPr>
        <w:t>Resolución derogada por el artículo 4 de la Resolución 1522 de 1996</w:t>
      </w:r>
      <w:r w:rsidR="60938807" w:rsidRPr="0AFE4EDC">
        <w:rPr>
          <w:rFonts w:ascii="Verdana" w:eastAsia="Verdana" w:hAnsi="Verdana" w:cs="Verdana"/>
          <w:sz w:val="22"/>
          <w:szCs w:val="22"/>
        </w:rPr>
        <w:t>]</w:t>
      </w:r>
      <w:r w:rsidRPr="0AFE4EDC">
        <w:rPr>
          <w:rFonts w:ascii="Verdana" w:eastAsia="Verdana" w:hAnsi="Verdana" w:cs="Verdana"/>
          <w:sz w:val="22"/>
          <w:szCs w:val="22"/>
        </w:rPr>
        <w:t xml:space="preserve"> Si quedaren remanentes de recursos financieros en las Asociaciones de Hogares de Bienestar, habiendo funcionado los Hogares normalmente, estos deberán destinarse en beneficio de los niños de acuerdo con las siguientes prioridades:</w:t>
      </w:r>
    </w:p>
    <w:p w14:paraId="6BA2C4E2" w14:textId="626E8F46" w:rsidR="00434EA7" w:rsidRDefault="6330FF0E" w:rsidP="0AFE4EDC">
      <w:pPr>
        <w:pStyle w:val="Prrafodelista"/>
        <w:numPr>
          <w:ilvl w:val="0"/>
          <w:numId w:val="1"/>
        </w:numPr>
        <w:jc w:val="both"/>
        <w:rPr>
          <w:rFonts w:ascii="Verdana" w:eastAsia="Verdana" w:hAnsi="Verdana" w:cs="Verdana"/>
          <w:sz w:val="22"/>
          <w:szCs w:val="22"/>
        </w:rPr>
      </w:pPr>
      <w:r w:rsidRPr="0AFE4EDC">
        <w:rPr>
          <w:rFonts w:ascii="Verdana" w:eastAsia="Verdana" w:hAnsi="Verdana" w:cs="Verdana"/>
          <w:sz w:val="22"/>
          <w:szCs w:val="22"/>
        </w:rPr>
        <w:t>Atender asuntos de salud de los niños de los Hogares afiliados.</w:t>
      </w:r>
    </w:p>
    <w:p w14:paraId="125CF791" w14:textId="02A307D6" w:rsidR="00434EA7" w:rsidRDefault="6330FF0E" w:rsidP="0AFE4EDC">
      <w:pPr>
        <w:pStyle w:val="Prrafodelista"/>
        <w:numPr>
          <w:ilvl w:val="0"/>
          <w:numId w:val="1"/>
        </w:numPr>
        <w:jc w:val="both"/>
        <w:rPr>
          <w:rFonts w:ascii="Verdana" w:eastAsia="Verdana" w:hAnsi="Verdana" w:cs="Verdana"/>
          <w:sz w:val="22"/>
          <w:szCs w:val="22"/>
        </w:rPr>
      </w:pPr>
      <w:r w:rsidRPr="0AFE4EDC">
        <w:rPr>
          <w:rFonts w:ascii="Verdana" w:eastAsia="Verdana" w:hAnsi="Verdana" w:cs="Verdana"/>
          <w:sz w:val="22"/>
          <w:szCs w:val="22"/>
        </w:rPr>
        <w:t>Adquirir o reparar material didáctico para los niños de los Hogares afiliados.</w:t>
      </w:r>
    </w:p>
    <w:p w14:paraId="7635A274" w14:textId="0DA05F14" w:rsidR="00434EA7" w:rsidRDefault="6330FF0E" w:rsidP="0AFE4EDC">
      <w:pPr>
        <w:pStyle w:val="Prrafodelista"/>
        <w:numPr>
          <w:ilvl w:val="0"/>
          <w:numId w:val="1"/>
        </w:numPr>
        <w:jc w:val="both"/>
        <w:rPr>
          <w:rFonts w:ascii="Verdana" w:eastAsia="Verdana" w:hAnsi="Verdana" w:cs="Verdana"/>
          <w:sz w:val="22"/>
          <w:szCs w:val="22"/>
        </w:rPr>
      </w:pPr>
      <w:r w:rsidRPr="0AFE4EDC">
        <w:rPr>
          <w:rFonts w:ascii="Verdana" w:eastAsia="Verdana" w:hAnsi="Verdana" w:cs="Verdana"/>
          <w:sz w:val="22"/>
          <w:szCs w:val="22"/>
        </w:rPr>
        <w:t>Recreación de los niños.</w:t>
      </w:r>
    </w:p>
    <w:p w14:paraId="63A2F07A" w14:textId="3E7D0933" w:rsidR="00434EA7" w:rsidRDefault="6330FF0E" w:rsidP="0AFE4EDC">
      <w:pPr>
        <w:pStyle w:val="Prrafodelista"/>
        <w:numPr>
          <w:ilvl w:val="0"/>
          <w:numId w:val="1"/>
        </w:numPr>
        <w:jc w:val="both"/>
        <w:rPr>
          <w:rFonts w:ascii="Verdana" w:eastAsia="Verdana" w:hAnsi="Verdana" w:cs="Verdana"/>
          <w:sz w:val="22"/>
          <w:szCs w:val="22"/>
        </w:rPr>
      </w:pPr>
      <w:r w:rsidRPr="0AFE4EDC">
        <w:rPr>
          <w:rFonts w:ascii="Verdana" w:eastAsia="Verdana" w:hAnsi="Verdana" w:cs="Verdana"/>
          <w:sz w:val="22"/>
          <w:szCs w:val="22"/>
        </w:rPr>
        <w:t>Para reemplazar la madre comunitaria, en caso de ausencias temporales justificadas menores a ocho (8) días.</w:t>
      </w:r>
    </w:p>
    <w:p w14:paraId="23090370" w14:textId="28160CCA" w:rsidR="00434EA7" w:rsidRDefault="6330FF0E" w:rsidP="0AFE4EDC">
      <w:pPr>
        <w:jc w:val="both"/>
        <w:rPr>
          <w:rFonts w:ascii="Verdana" w:eastAsia="Verdana" w:hAnsi="Verdana" w:cs="Verdana"/>
          <w:sz w:val="22"/>
          <w:szCs w:val="22"/>
        </w:rPr>
      </w:pPr>
      <w:r w:rsidRPr="0AFE4EDC">
        <w:rPr>
          <w:rFonts w:ascii="Verdana" w:eastAsia="Verdana" w:hAnsi="Verdana" w:cs="Verdana"/>
          <w:b/>
          <w:bCs/>
          <w:sz w:val="22"/>
          <w:szCs w:val="22"/>
        </w:rPr>
        <w:t>ARTÍCULO 2o.</w:t>
      </w:r>
      <w:r w:rsidRPr="0AFE4EDC">
        <w:rPr>
          <w:rFonts w:ascii="Verdana" w:eastAsia="Verdana" w:hAnsi="Verdana" w:cs="Verdana"/>
          <w:sz w:val="22"/>
          <w:szCs w:val="22"/>
        </w:rPr>
        <w:t xml:space="preserve"> </w:t>
      </w:r>
      <w:r w:rsidR="0DB5FDED" w:rsidRPr="0AFE4EDC">
        <w:rPr>
          <w:rFonts w:ascii="Verdana" w:eastAsia="Verdana" w:hAnsi="Verdana" w:cs="Verdana"/>
          <w:sz w:val="22"/>
          <w:szCs w:val="22"/>
        </w:rPr>
        <w:t>[</w:t>
      </w:r>
      <w:r w:rsidRPr="0AFE4EDC">
        <w:rPr>
          <w:rFonts w:ascii="Verdana" w:eastAsia="Verdana" w:hAnsi="Verdana" w:cs="Verdana"/>
          <w:sz w:val="22"/>
          <w:szCs w:val="22"/>
        </w:rPr>
        <w:t>Resolución derogada por el artículo 4 de la Resolución 1522 de 1996</w:t>
      </w:r>
      <w:r w:rsidR="60938807" w:rsidRPr="0AFE4EDC">
        <w:rPr>
          <w:rFonts w:ascii="Verdana" w:eastAsia="Verdana" w:hAnsi="Verdana" w:cs="Verdana"/>
          <w:sz w:val="22"/>
          <w:szCs w:val="22"/>
        </w:rPr>
        <w:t>]</w:t>
      </w:r>
      <w:r w:rsidRPr="0AFE4EDC">
        <w:rPr>
          <w:rFonts w:ascii="Verdana" w:eastAsia="Verdana" w:hAnsi="Verdana" w:cs="Verdana"/>
          <w:sz w:val="22"/>
          <w:szCs w:val="22"/>
        </w:rPr>
        <w:t xml:space="preserve"> La presente resolución rige a partir de la fecha de su expedición.</w:t>
      </w:r>
    </w:p>
    <w:p w14:paraId="41F0B242" w14:textId="6C9A1A99"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COMUNIQUESE Y CUMPLASE</w:t>
      </w:r>
      <w:r w:rsidR="68B7E65A" w:rsidRPr="0AFE4EDC">
        <w:rPr>
          <w:rFonts w:ascii="Verdana" w:eastAsia="Verdana" w:hAnsi="Verdana" w:cs="Verdana"/>
          <w:b/>
          <w:bCs/>
          <w:sz w:val="22"/>
          <w:szCs w:val="22"/>
        </w:rPr>
        <w:t>,</w:t>
      </w:r>
    </w:p>
    <w:p w14:paraId="340F2BD0" w14:textId="3856ADDC" w:rsidR="00434EA7" w:rsidRDefault="6330FF0E" w:rsidP="0AFE4EDC">
      <w:pPr>
        <w:jc w:val="center"/>
        <w:rPr>
          <w:rFonts w:ascii="Verdana" w:eastAsia="Verdana" w:hAnsi="Verdana" w:cs="Verdana"/>
          <w:sz w:val="22"/>
          <w:szCs w:val="22"/>
        </w:rPr>
      </w:pPr>
      <w:r w:rsidRPr="0AFE4EDC">
        <w:rPr>
          <w:rFonts w:ascii="Verdana" w:eastAsia="Verdana" w:hAnsi="Verdana" w:cs="Verdana"/>
          <w:sz w:val="22"/>
          <w:szCs w:val="22"/>
        </w:rPr>
        <w:t>Dada en Bogotá, D. E. a los 2</w:t>
      </w:r>
      <w:r w:rsidR="7598A191" w:rsidRPr="0AFE4EDC">
        <w:rPr>
          <w:rFonts w:ascii="Verdana" w:eastAsia="Verdana" w:hAnsi="Verdana" w:cs="Verdana"/>
          <w:sz w:val="22"/>
          <w:szCs w:val="22"/>
        </w:rPr>
        <w:t xml:space="preserve"> días del mes de febrero </w:t>
      </w:r>
      <w:r w:rsidRPr="0AFE4EDC">
        <w:rPr>
          <w:rFonts w:ascii="Verdana" w:eastAsia="Verdana" w:hAnsi="Verdana" w:cs="Verdana"/>
          <w:sz w:val="22"/>
          <w:szCs w:val="22"/>
        </w:rPr>
        <w:t>1989</w:t>
      </w:r>
    </w:p>
    <w:p w14:paraId="5CBD63B9" w14:textId="162B0D1C"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t>JAIME BENÍTEZ TOBON</w:t>
      </w:r>
    </w:p>
    <w:p w14:paraId="598A798C" w14:textId="105909B9" w:rsidR="00434EA7" w:rsidRDefault="6330FF0E" w:rsidP="0AFE4EDC">
      <w:pPr>
        <w:jc w:val="center"/>
        <w:rPr>
          <w:rFonts w:ascii="Verdana" w:eastAsia="Verdana" w:hAnsi="Verdana" w:cs="Verdana"/>
          <w:sz w:val="22"/>
          <w:szCs w:val="22"/>
        </w:rPr>
      </w:pPr>
      <w:r w:rsidRPr="0AFE4EDC">
        <w:rPr>
          <w:rFonts w:ascii="Verdana" w:eastAsia="Verdana" w:hAnsi="Verdana" w:cs="Verdana"/>
          <w:sz w:val="22"/>
          <w:szCs w:val="22"/>
        </w:rPr>
        <w:t>DIRECTOR GENERAL</w:t>
      </w:r>
    </w:p>
    <w:p w14:paraId="4B16667D" w14:textId="7DCE5A78" w:rsidR="00434EA7" w:rsidRDefault="6330FF0E" w:rsidP="0AFE4EDC">
      <w:pPr>
        <w:jc w:val="center"/>
        <w:rPr>
          <w:rFonts w:ascii="Verdana" w:eastAsia="Verdana" w:hAnsi="Verdana" w:cs="Verdana"/>
          <w:b/>
          <w:bCs/>
          <w:sz w:val="22"/>
          <w:szCs w:val="22"/>
        </w:rPr>
      </w:pPr>
      <w:r w:rsidRPr="0AFE4EDC">
        <w:rPr>
          <w:rFonts w:ascii="Verdana" w:eastAsia="Verdana" w:hAnsi="Verdana" w:cs="Verdana"/>
          <w:b/>
          <w:bCs/>
          <w:sz w:val="22"/>
          <w:szCs w:val="22"/>
        </w:rPr>
        <w:lastRenderedPageBreak/>
        <w:t>ALBA OTILIA DUEÑAS PEREZ</w:t>
      </w:r>
    </w:p>
    <w:p w14:paraId="12E59F07" w14:textId="748A0308" w:rsidR="00434EA7" w:rsidRDefault="6330FF0E" w:rsidP="0AFE4EDC">
      <w:pPr>
        <w:jc w:val="center"/>
        <w:rPr>
          <w:rFonts w:ascii="Verdana" w:eastAsia="Verdana" w:hAnsi="Verdana" w:cs="Verdana"/>
          <w:sz w:val="22"/>
          <w:szCs w:val="22"/>
        </w:rPr>
      </w:pPr>
      <w:r w:rsidRPr="0AFE4EDC">
        <w:rPr>
          <w:rFonts w:ascii="Verdana" w:eastAsia="Verdana" w:hAnsi="Verdana" w:cs="Verdana"/>
          <w:sz w:val="22"/>
          <w:szCs w:val="22"/>
        </w:rPr>
        <w:t>SECRETARIA GENERAL</w:t>
      </w:r>
    </w:p>
    <w:p w14:paraId="5C1A07E2" w14:textId="1AC826AC" w:rsidR="00434EA7" w:rsidRDefault="00434EA7" w:rsidP="0AFE4EDC">
      <w:pPr>
        <w:rPr>
          <w:rFonts w:ascii="Verdana" w:eastAsia="Verdana" w:hAnsi="Verdana" w:cs="Verdana"/>
          <w:sz w:val="22"/>
          <w:szCs w:val="22"/>
        </w:rPr>
      </w:pPr>
    </w:p>
    <w:sectPr w:rsidR="00434E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386EE"/>
    <w:multiLevelType w:val="hybridMultilevel"/>
    <w:tmpl w:val="3E942D1A"/>
    <w:lvl w:ilvl="0" w:tplc="B4CA35F0">
      <w:start w:val="1"/>
      <w:numFmt w:val="lowerLetter"/>
      <w:lvlText w:val="%1)"/>
      <w:lvlJc w:val="left"/>
      <w:pPr>
        <w:ind w:left="720" w:hanging="360"/>
      </w:pPr>
    </w:lvl>
    <w:lvl w:ilvl="1" w:tplc="AC50FA38">
      <w:start w:val="1"/>
      <w:numFmt w:val="lowerLetter"/>
      <w:lvlText w:val="%2."/>
      <w:lvlJc w:val="left"/>
      <w:pPr>
        <w:ind w:left="1440" w:hanging="360"/>
      </w:pPr>
    </w:lvl>
    <w:lvl w:ilvl="2" w:tplc="B8F8B530">
      <w:start w:val="1"/>
      <w:numFmt w:val="lowerRoman"/>
      <w:lvlText w:val="%3."/>
      <w:lvlJc w:val="right"/>
      <w:pPr>
        <w:ind w:left="2160" w:hanging="180"/>
      </w:pPr>
    </w:lvl>
    <w:lvl w:ilvl="3" w:tplc="82D8389C">
      <w:start w:val="1"/>
      <w:numFmt w:val="decimal"/>
      <w:lvlText w:val="%4."/>
      <w:lvlJc w:val="left"/>
      <w:pPr>
        <w:ind w:left="2880" w:hanging="360"/>
      </w:pPr>
    </w:lvl>
    <w:lvl w:ilvl="4" w:tplc="410E187C">
      <w:start w:val="1"/>
      <w:numFmt w:val="lowerLetter"/>
      <w:lvlText w:val="%5."/>
      <w:lvlJc w:val="left"/>
      <w:pPr>
        <w:ind w:left="3600" w:hanging="360"/>
      </w:pPr>
    </w:lvl>
    <w:lvl w:ilvl="5" w:tplc="C12E9D60">
      <w:start w:val="1"/>
      <w:numFmt w:val="lowerRoman"/>
      <w:lvlText w:val="%6."/>
      <w:lvlJc w:val="right"/>
      <w:pPr>
        <w:ind w:left="4320" w:hanging="180"/>
      </w:pPr>
    </w:lvl>
    <w:lvl w:ilvl="6" w:tplc="F28C7034">
      <w:start w:val="1"/>
      <w:numFmt w:val="decimal"/>
      <w:lvlText w:val="%7."/>
      <w:lvlJc w:val="left"/>
      <w:pPr>
        <w:ind w:left="5040" w:hanging="360"/>
      </w:pPr>
    </w:lvl>
    <w:lvl w:ilvl="7" w:tplc="1AE66460">
      <w:start w:val="1"/>
      <w:numFmt w:val="lowerLetter"/>
      <w:lvlText w:val="%8."/>
      <w:lvlJc w:val="left"/>
      <w:pPr>
        <w:ind w:left="5760" w:hanging="360"/>
      </w:pPr>
    </w:lvl>
    <w:lvl w:ilvl="8" w:tplc="37BA6CD8">
      <w:start w:val="1"/>
      <w:numFmt w:val="lowerRoman"/>
      <w:lvlText w:val="%9."/>
      <w:lvlJc w:val="right"/>
      <w:pPr>
        <w:ind w:left="6480" w:hanging="180"/>
      </w:pPr>
    </w:lvl>
  </w:abstractNum>
  <w:abstractNum w:abstractNumId="1" w15:restartNumberingAfterBreak="0">
    <w:nsid w:val="66CCD6B2"/>
    <w:multiLevelType w:val="hybridMultilevel"/>
    <w:tmpl w:val="8EEC9AD6"/>
    <w:lvl w:ilvl="0" w:tplc="A3465960">
      <w:start w:val="1"/>
      <w:numFmt w:val="decimal"/>
      <w:lvlText w:val="%1."/>
      <w:lvlJc w:val="left"/>
      <w:pPr>
        <w:ind w:left="720" w:hanging="360"/>
      </w:pPr>
    </w:lvl>
    <w:lvl w:ilvl="1" w:tplc="0F8CB23C">
      <w:start w:val="1"/>
      <w:numFmt w:val="lowerLetter"/>
      <w:lvlText w:val="%2."/>
      <w:lvlJc w:val="left"/>
      <w:pPr>
        <w:ind w:left="1440" w:hanging="360"/>
      </w:pPr>
    </w:lvl>
    <w:lvl w:ilvl="2" w:tplc="2F96073E">
      <w:start w:val="1"/>
      <w:numFmt w:val="lowerRoman"/>
      <w:lvlText w:val="%3."/>
      <w:lvlJc w:val="right"/>
      <w:pPr>
        <w:ind w:left="2160" w:hanging="180"/>
      </w:pPr>
    </w:lvl>
    <w:lvl w:ilvl="3" w:tplc="1BAA8730">
      <w:start w:val="1"/>
      <w:numFmt w:val="decimal"/>
      <w:lvlText w:val="%4."/>
      <w:lvlJc w:val="left"/>
      <w:pPr>
        <w:ind w:left="2880" w:hanging="360"/>
      </w:pPr>
    </w:lvl>
    <w:lvl w:ilvl="4" w:tplc="B25E575E">
      <w:start w:val="1"/>
      <w:numFmt w:val="lowerLetter"/>
      <w:lvlText w:val="%5."/>
      <w:lvlJc w:val="left"/>
      <w:pPr>
        <w:ind w:left="3600" w:hanging="360"/>
      </w:pPr>
    </w:lvl>
    <w:lvl w:ilvl="5" w:tplc="1AC2D5EA">
      <w:start w:val="1"/>
      <w:numFmt w:val="lowerRoman"/>
      <w:lvlText w:val="%6."/>
      <w:lvlJc w:val="right"/>
      <w:pPr>
        <w:ind w:left="4320" w:hanging="180"/>
      </w:pPr>
    </w:lvl>
    <w:lvl w:ilvl="6" w:tplc="EC0E70F8">
      <w:start w:val="1"/>
      <w:numFmt w:val="decimal"/>
      <w:lvlText w:val="%7."/>
      <w:lvlJc w:val="left"/>
      <w:pPr>
        <w:ind w:left="5040" w:hanging="360"/>
      </w:pPr>
    </w:lvl>
    <w:lvl w:ilvl="7" w:tplc="3410A948">
      <w:start w:val="1"/>
      <w:numFmt w:val="lowerLetter"/>
      <w:lvlText w:val="%8."/>
      <w:lvlJc w:val="left"/>
      <w:pPr>
        <w:ind w:left="5760" w:hanging="360"/>
      </w:pPr>
    </w:lvl>
    <w:lvl w:ilvl="8" w:tplc="BC886080">
      <w:start w:val="1"/>
      <w:numFmt w:val="lowerRoman"/>
      <w:lvlText w:val="%9."/>
      <w:lvlJc w:val="right"/>
      <w:pPr>
        <w:ind w:left="6480" w:hanging="180"/>
      </w:pPr>
    </w:lvl>
  </w:abstractNum>
  <w:num w:numId="1" w16cid:durableId="1609506958">
    <w:abstractNumId w:val="0"/>
  </w:num>
  <w:num w:numId="2" w16cid:durableId="62196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DCD758"/>
    <w:rsid w:val="002A0242"/>
    <w:rsid w:val="00434EA7"/>
    <w:rsid w:val="00A7EBE0"/>
    <w:rsid w:val="00B17B86"/>
    <w:rsid w:val="00D30D90"/>
    <w:rsid w:val="00DF198E"/>
    <w:rsid w:val="0AFE4EDC"/>
    <w:rsid w:val="0DB5FDED"/>
    <w:rsid w:val="16DCD758"/>
    <w:rsid w:val="19C7386F"/>
    <w:rsid w:val="1B87E6E4"/>
    <w:rsid w:val="1C64C19E"/>
    <w:rsid w:val="34F2084B"/>
    <w:rsid w:val="37E77601"/>
    <w:rsid w:val="38AE7F28"/>
    <w:rsid w:val="3A7B7ACE"/>
    <w:rsid w:val="3BE39284"/>
    <w:rsid w:val="44DC9FD9"/>
    <w:rsid w:val="4F67DB19"/>
    <w:rsid w:val="60938807"/>
    <w:rsid w:val="6330FF0E"/>
    <w:rsid w:val="68B7E65A"/>
    <w:rsid w:val="68EF9CF9"/>
    <w:rsid w:val="7598A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D758"/>
  <w15:chartTrackingRefBased/>
  <w15:docId w15:val="{144E0FAE-4D5E-4361-8EF6-925148D3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AFE4EDC"/>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A0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3E3E7-2062-4C40-A82B-AC27EBE5EEB3}"/>
</file>

<file path=customXml/itemProps2.xml><?xml version="1.0" encoding="utf-8"?>
<ds:datastoreItem xmlns:ds="http://schemas.openxmlformats.org/officeDocument/2006/customXml" ds:itemID="{FFCC4F5B-2DFC-452F-8236-8A2A8BE6DFD0}"/>
</file>

<file path=customXml/itemProps3.xml><?xml version="1.0" encoding="utf-8"?>
<ds:datastoreItem xmlns:ds="http://schemas.openxmlformats.org/officeDocument/2006/customXml" ds:itemID="{A0D63EE7-BF16-4BB6-9E03-78E9883C814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1496</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2025-11-21T19:49:00Z</dcterms:created>
  <dcterms:modified xsi:type="dcterms:W3CDTF">2026-01-15T20:21:00Z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