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3225" w:rsidRDefault="00CC5859">
      <w:pPr>
        <w:spacing w:after="160" w:line="240" w:lineRule="auto"/>
        <w:jc w:val="center"/>
        <w:rPr>
          <w:rFonts w:ascii="Verdana" w:eastAsia="Verdana" w:hAnsi="Verdana" w:cs="Verdana"/>
        </w:rPr>
      </w:pPr>
      <w:r>
        <w:rPr>
          <w:rFonts w:ascii="Verdana" w:eastAsia="Verdana" w:hAnsi="Verdana" w:cs="Verdana"/>
          <w:b/>
          <w:bCs/>
        </w:rPr>
        <w:t>RESOLUCIÓN 135 DE 2008</w:t>
      </w:r>
    </w:p>
    <w:p w14:paraId="00000002" w14:textId="77777777" w:rsidR="003B3225" w:rsidRDefault="00CC5859">
      <w:pPr>
        <w:spacing w:line="240" w:lineRule="auto"/>
        <w:rPr>
          <w:rFonts w:ascii="Verdana" w:eastAsia="Verdana" w:hAnsi="Verdana" w:cs="Verdana"/>
        </w:rPr>
      </w:pPr>
      <w:r>
        <w:rPr>
          <w:rFonts w:ascii="Verdana" w:eastAsia="Verdana" w:hAnsi="Verdana" w:cs="Verdana"/>
        </w:rPr>
        <w:t>Fecha de Expedición: 24 de enero de 2008</w:t>
      </w:r>
    </w:p>
    <w:p w14:paraId="00000003" w14:textId="77777777" w:rsidR="003B3225" w:rsidRDefault="00CC5859">
      <w:pPr>
        <w:spacing w:line="240" w:lineRule="auto"/>
        <w:rPr>
          <w:rFonts w:ascii="Verdana" w:eastAsia="Verdana" w:hAnsi="Verdana" w:cs="Verdana"/>
        </w:rPr>
      </w:pPr>
      <w:r>
        <w:rPr>
          <w:rFonts w:ascii="Verdana" w:eastAsia="Verdana" w:hAnsi="Verdana" w:cs="Verdana"/>
        </w:rPr>
        <w:t>Fecha de entrada en vigencia: 24 de enero de 2008</w:t>
      </w:r>
    </w:p>
    <w:p w14:paraId="00000004" w14:textId="77777777" w:rsidR="003B3225" w:rsidRDefault="00CC5859">
      <w:pPr>
        <w:spacing w:line="240" w:lineRule="auto"/>
        <w:rPr>
          <w:rFonts w:ascii="Verdana" w:eastAsia="Verdana" w:hAnsi="Verdana" w:cs="Verdana"/>
        </w:rPr>
      </w:pPr>
      <w:r>
        <w:rPr>
          <w:rFonts w:ascii="Verdana" w:eastAsia="Verdana" w:hAnsi="Verdana" w:cs="Verdana"/>
        </w:rPr>
        <w:t>Estado de la vigencia: Vigente</w:t>
      </w:r>
    </w:p>
    <w:p w14:paraId="00000005" w14:textId="77777777" w:rsidR="003B3225" w:rsidRDefault="003B3225">
      <w:pPr>
        <w:spacing w:line="240" w:lineRule="auto"/>
        <w:rPr>
          <w:rFonts w:ascii="Verdana" w:eastAsia="Verdana" w:hAnsi="Verdana" w:cs="Verdana"/>
        </w:rPr>
      </w:pPr>
    </w:p>
    <w:p w14:paraId="00000006" w14:textId="77777777" w:rsidR="003B3225" w:rsidRDefault="00CC5859">
      <w:pPr>
        <w:spacing w:line="240" w:lineRule="auto"/>
        <w:rPr>
          <w:rFonts w:ascii="Verdana" w:eastAsia="Verdana" w:hAnsi="Verdana" w:cs="Verdana"/>
        </w:rPr>
      </w:pPr>
      <w:r>
        <w:rPr>
          <w:rFonts w:ascii="Verdana" w:eastAsia="Verdana" w:hAnsi="Verdana" w:cs="Verdana"/>
        </w:rPr>
        <w:t>Fecha de publicación en Diario Oficial: 14 de abril de 2009</w:t>
      </w:r>
    </w:p>
    <w:p w14:paraId="00000007" w14:textId="77777777" w:rsidR="003B3225" w:rsidRDefault="00CC5859">
      <w:pPr>
        <w:spacing w:line="240" w:lineRule="auto"/>
        <w:rPr>
          <w:rFonts w:ascii="Verdana" w:eastAsia="Verdana" w:hAnsi="Verdana" w:cs="Verdana"/>
        </w:rPr>
      </w:pPr>
      <w:r>
        <w:rPr>
          <w:rFonts w:ascii="Verdana" w:eastAsia="Verdana" w:hAnsi="Verdana" w:cs="Verdana"/>
        </w:rPr>
        <w:t>Número del Diario Oficial: 47.320</w:t>
      </w:r>
    </w:p>
    <w:p w14:paraId="00000008" w14:textId="77777777" w:rsidR="003B3225" w:rsidRDefault="003B3225">
      <w:pPr>
        <w:spacing w:line="240" w:lineRule="auto"/>
        <w:rPr>
          <w:rFonts w:ascii="Verdana" w:eastAsia="Verdana" w:hAnsi="Verdana" w:cs="Verdana"/>
        </w:rPr>
      </w:pPr>
    </w:p>
    <w:p w14:paraId="00000009" w14:textId="77777777" w:rsidR="003B3225" w:rsidRDefault="00CC5859">
      <w:pPr>
        <w:spacing w:after="160" w:line="240" w:lineRule="auto"/>
        <w:jc w:val="center"/>
        <w:rPr>
          <w:rFonts w:ascii="Verdana" w:eastAsia="Verdana" w:hAnsi="Verdana" w:cs="Verdana"/>
        </w:rPr>
      </w:pPr>
      <w:r>
        <w:rPr>
          <w:rFonts w:ascii="Verdana" w:eastAsia="Verdana" w:hAnsi="Verdana" w:cs="Verdana"/>
          <w:b/>
          <w:bCs/>
        </w:rPr>
        <w:t>RESOLUCIÓN 135 DE 2008</w:t>
      </w:r>
    </w:p>
    <w:p w14:paraId="0000000A" w14:textId="77777777" w:rsidR="003B3225" w:rsidRDefault="00CC5859">
      <w:pPr>
        <w:spacing w:after="160" w:line="240" w:lineRule="auto"/>
        <w:jc w:val="center"/>
        <w:rPr>
          <w:rFonts w:ascii="Verdana" w:eastAsia="Verdana" w:hAnsi="Verdana" w:cs="Verdana"/>
          <w:b/>
          <w:bCs/>
        </w:rPr>
      </w:pPr>
      <w:r>
        <w:rPr>
          <w:rFonts w:ascii="Verdana" w:eastAsia="Verdana" w:hAnsi="Verdana" w:cs="Verdana"/>
          <w:b/>
          <w:bCs/>
        </w:rPr>
        <w:t>(24 de enero)</w:t>
      </w:r>
    </w:p>
    <w:p w14:paraId="0000000B" w14:textId="77777777" w:rsidR="003B3225" w:rsidRDefault="00CC5859">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3B3225" w:rsidRDefault="00CC5859">
      <w:pPr>
        <w:spacing w:line="240" w:lineRule="auto"/>
        <w:jc w:val="center"/>
        <w:rPr>
          <w:rFonts w:ascii="Verdana" w:eastAsia="Verdana" w:hAnsi="Verdana" w:cs="Verdana"/>
          <w:highlight w:val="white"/>
        </w:rPr>
      </w:pPr>
      <w:r>
        <w:rPr>
          <w:rFonts w:ascii="Verdana" w:eastAsia="Verdana" w:hAnsi="Verdana" w:cs="Verdana"/>
          <w:highlight w:val="white"/>
        </w:rPr>
        <w:t>“Por la cual se justifica una contratación directa con el Instituto Nacional de Medicina Legal y Ciencias Forenses”.</w:t>
      </w:r>
    </w:p>
    <w:p w14:paraId="0000000D" w14:textId="77777777" w:rsidR="003B3225" w:rsidRDefault="003B3225">
      <w:pPr>
        <w:spacing w:line="240" w:lineRule="auto"/>
        <w:jc w:val="center"/>
        <w:rPr>
          <w:rFonts w:ascii="Verdana" w:eastAsia="Verdana" w:hAnsi="Verdana" w:cs="Verdana"/>
          <w:highlight w:val="white"/>
        </w:rPr>
      </w:pPr>
    </w:p>
    <w:p w14:paraId="0000000E" w14:textId="77777777" w:rsidR="003B3225" w:rsidRDefault="00CC5859">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1A7E216B" w:rsidR="003B3225" w:rsidRDefault="00CC5859">
      <w:pPr>
        <w:spacing w:after="280" w:line="240" w:lineRule="auto"/>
        <w:jc w:val="center"/>
        <w:rPr>
          <w:rFonts w:ascii="Verdana" w:eastAsia="Verdana" w:hAnsi="Verdana" w:cs="Verdana"/>
          <w:highlight w:val="white"/>
        </w:rPr>
      </w:pPr>
      <w:r>
        <w:rPr>
          <w:rFonts w:ascii="Verdana" w:eastAsia="Verdana" w:hAnsi="Verdana" w:cs="Verdana"/>
          <w:highlight w:val="white"/>
        </w:rPr>
        <w:t xml:space="preserve">En uso de sus atribuciones legales y estatutarias, en especial por lo establecido en los artículos </w:t>
      </w:r>
      <w:r w:rsidR="003B3225">
        <w:rPr>
          <w:rFonts w:ascii="Verdana" w:eastAsia="Verdana" w:hAnsi="Verdana" w:cs="Verdana"/>
          <w:highlight w:val="white"/>
        </w:rPr>
        <w:t>2</w:t>
      </w:r>
      <w:r>
        <w:rPr>
          <w:rFonts w:ascii="Verdana" w:eastAsia="Verdana" w:hAnsi="Verdana" w:cs="Verdana"/>
          <w:highlight w:val="white"/>
        </w:rPr>
        <w:t xml:space="preserve">  y </w:t>
      </w:r>
      <w:r w:rsidR="003B3225">
        <w:rPr>
          <w:rFonts w:ascii="Verdana" w:eastAsia="Verdana" w:hAnsi="Verdana" w:cs="Verdana"/>
          <w:highlight w:val="white"/>
        </w:rPr>
        <w:t>12</w:t>
      </w:r>
      <w:r>
        <w:rPr>
          <w:rFonts w:ascii="Verdana" w:eastAsia="Verdana" w:hAnsi="Verdana" w:cs="Verdana"/>
          <w:highlight w:val="white"/>
        </w:rPr>
        <w:t xml:space="preserve"> de la ley 80 de 1993; literal c) del numeral 4 del artículo </w:t>
      </w:r>
      <w:r w:rsidR="003B3225">
        <w:rPr>
          <w:rFonts w:ascii="Verdana" w:eastAsia="Verdana" w:hAnsi="Verdana" w:cs="Verdana"/>
          <w:highlight w:val="white"/>
        </w:rPr>
        <w:t>2</w:t>
      </w:r>
      <w:r>
        <w:rPr>
          <w:rFonts w:ascii="Verdana" w:eastAsia="Verdana" w:hAnsi="Verdana" w:cs="Verdana"/>
          <w:highlight w:val="white"/>
        </w:rPr>
        <w:t xml:space="preserve"> y el artículo </w:t>
      </w:r>
      <w:r w:rsidR="003B3225">
        <w:rPr>
          <w:rFonts w:ascii="Verdana" w:eastAsia="Verdana" w:hAnsi="Verdana" w:cs="Verdana"/>
          <w:highlight w:val="white"/>
        </w:rPr>
        <w:t>21</w:t>
      </w:r>
      <w:r>
        <w:rPr>
          <w:rFonts w:ascii="Verdana" w:eastAsia="Verdana" w:hAnsi="Verdana" w:cs="Verdana"/>
          <w:highlight w:val="white"/>
        </w:rPr>
        <w:t xml:space="preserve"> de la ley 1150 de 2007; artículos </w:t>
      </w:r>
      <w:r w:rsidR="003B3225">
        <w:rPr>
          <w:rFonts w:ascii="Verdana" w:eastAsia="Verdana" w:hAnsi="Verdana" w:cs="Verdana"/>
          <w:highlight w:val="white"/>
        </w:rPr>
        <w:t>2</w:t>
      </w:r>
      <w:r>
        <w:rPr>
          <w:rFonts w:ascii="Verdana" w:eastAsia="Verdana" w:hAnsi="Verdana" w:cs="Verdana"/>
          <w:highlight w:val="white"/>
        </w:rPr>
        <w:t xml:space="preserve">, </w:t>
      </w:r>
      <w:r w:rsidR="003B3225">
        <w:rPr>
          <w:rFonts w:ascii="Verdana" w:eastAsia="Verdana" w:hAnsi="Verdana" w:cs="Verdana"/>
          <w:highlight w:val="white"/>
        </w:rPr>
        <w:t>76</w:t>
      </w:r>
      <w:r>
        <w:rPr>
          <w:rFonts w:ascii="Verdana" w:eastAsia="Verdana" w:hAnsi="Verdana" w:cs="Verdana"/>
          <w:highlight w:val="white"/>
        </w:rPr>
        <w:t xml:space="preserve"> y </w:t>
      </w:r>
      <w:r w:rsidR="003B3225">
        <w:rPr>
          <w:rFonts w:ascii="Verdana" w:eastAsia="Verdana" w:hAnsi="Verdana" w:cs="Verdana"/>
          <w:highlight w:val="white"/>
        </w:rPr>
        <w:t>77</w:t>
      </w:r>
      <w:r>
        <w:rPr>
          <w:rFonts w:ascii="Verdana" w:eastAsia="Verdana" w:hAnsi="Verdana" w:cs="Verdana"/>
          <w:highlight w:val="white"/>
        </w:rPr>
        <w:t xml:space="preserve"> del decreto 066 de 2008, capítulo segundo, artículos decimoprimero y decimosegundo numeral tercero de la Resolución Orgánica 0505 de 2007, y</w:t>
      </w:r>
    </w:p>
    <w:p w14:paraId="00000010" w14:textId="77777777" w:rsidR="003B3225" w:rsidRDefault="00CC5859">
      <w:pPr>
        <w:spacing w:after="280" w:line="240" w:lineRule="auto"/>
        <w:jc w:val="center"/>
        <w:rPr>
          <w:rFonts w:ascii="Verdana" w:eastAsia="Verdana" w:hAnsi="Verdana" w:cs="Verdana"/>
          <w:b/>
          <w:bCs/>
          <w:highlight w:val="white"/>
        </w:rPr>
      </w:pPr>
      <w:r>
        <w:rPr>
          <w:rFonts w:ascii="Verdana" w:eastAsia="Verdana" w:hAnsi="Verdana" w:cs="Verdana"/>
          <w:b/>
          <w:bCs/>
          <w:highlight w:val="white"/>
        </w:rPr>
        <w:t>CONSIDERANDO</w:t>
      </w:r>
    </w:p>
    <w:p w14:paraId="00000011" w14:textId="77777777" w:rsidR="003B3225" w:rsidRDefault="00CC5859">
      <w:pPr>
        <w:spacing w:after="280" w:line="240" w:lineRule="auto"/>
        <w:jc w:val="both"/>
        <w:rPr>
          <w:rFonts w:ascii="Verdana" w:eastAsia="Verdana" w:hAnsi="Verdana" w:cs="Verdana"/>
          <w:i/>
          <w:iCs/>
          <w:highlight w:val="white"/>
        </w:rPr>
      </w:pPr>
      <w:r>
        <w:rPr>
          <w:rFonts w:ascii="Verdana" w:eastAsia="Verdana" w:hAnsi="Verdana" w:cs="Verdana"/>
          <w:highlight w:val="white"/>
        </w:rPr>
        <w:t xml:space="preserve">Que el ICBF requiere celebrar contrato interadministrativo con el Instituto Nacional de Medicina Legal y Ciencias Forenses para </w:t>
      </w:r>
      <w:r>
        <w:rPr>
          <w:rFonts w:ascii="Verdana" w:eastAsia="Verdana" w:hAnsi="Verdana" w:cs="Verdana"/>
          <w:i/>
          <w:iCs/>
          <w:highlight w:val="white"/>
        </w:rPr>
        <w:t xml:space="preserve">“realizar toma de muestras </w:t>
      </w:r>
      <w:r>
        <w:rPr>
          <w:rFonts w:ascii="Verdana" w:eastAsia="Verdana" w:hAnsi="Verdana" w:cs="Verdana"/>
          <w:highlight w:val="white"/>
        </w:rPr>
        <w:t xml:space="preserve">y </w:t>
      </w:r>
      <w:r>
        <w:rPr>
          <w:rFonts w:ascii="Verdana" w:eastAsia="Verdana" w:hAnsi="Verdana" w:cs="Verdana"/>
          <w:i/>
          <w:iCs/>
          <w:highlight w:val="white"/>
        </w:rPr>
        <w:t>análisis de las pruebas de paternidad o maternidad con marcadores genéticos de ADN.”</w:t>
      </w:r>
    </w:p>
    <w:p w14:paraId="00000012" w14:textId="7F01E5BB"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t xml:space="preserve">Que la modalidad de selección para la escogencia del contratista se debe justificar previamente de conformidad con los numerales 1 a 4 del artículo </w:t>
      </w:r>
      <w:r w:rsidR="003B3225">
        <w:rPr>
          <w:rFonts w:ascii="Verdana" w:eastAsia="Verdana" w:hAnsi="Verdana" w:cs="Verdana"/>
          <w:highlight w:val="white"/>
        </w:rPr>
        <w:t>76</w:t>
      </w:r>
      <w:r>
        <w:rPr>
          <w:rFonts w:ascii="Verdana" w:eastAsia="Verdana" w:hAnsi="Verdana" w:cs="Verdana"/>
          <w:highlight w:val="white"/>
        </w:rPr>
        <w:t xml:space="preserve"> del decreto 066 de 2008, en concordancia con el parágrafo 1º del artículo </w:t>
      </w:r>
      <w:r w:rsidR="003B3225">
        <w:rPr>
          <w:rFonts w:ascii="Verdana" w:eastAsia="Verdana" w:hAnsi="Verdana" w:cs="Verdana"/>
          <w:highlight w:val="white"/>
        </w:rPr>
        <w:t>2</w:t>
      </w:r>
      <w:r>
        <w:rPr>
          <w:rFonts w:ascii="Verdana" w:eastAsia="Verdana" w:hAnsi="Verdana" w:cs="Verdana"/>
          <w:highlight w:val="white"/>
        </w:rPr>
        <w:t xml:space="preserve"> de la ley 1150 de 2007.</w:t>
      </w:r>
    </w:p>
    <w:p w14:paraId="00000013" w14:textId="7EB150E1"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t xml:space="preserve">Que la causal invocada para optar por la modalidad de selección del contratista mediante contratación directa es la celebración de “Contratos interadministrativos” a que se refiere el literal c) del numeral 4 del artículo </w:t>
      </w:r>
      <w:r w:rsidR="003B3225">
        <w:rPr>
          <w:rFonts w:ascii="Verdana" w:eastAsia="Verdana" w:hAnsi="Verdana" w:cs="Verdana"/>
          <w:highlight w:val="white"/>
        </w:rPr>
        <w:t>2</w:t>
      </w:r>
      <w:r>
        <w:rPr>
          <w:rFonts w:ascii="Verdana" w:eastAsia="Verdana" w:hAnsi="Verdana" w:cs="Verdana"/>
          <w:highlight w:val="white"/>
        </w:rPr>
        <w:t xml:space="preserve"> de la ley 1150 de 2007 y el artículo </w:t>
      </w:r>
      <w:r w:rsidR="003B3225">
        <w:rPr>
          <w:rFonts w:ascii="Verdana" w:eastAsia="Verdana" w:hAnsi="Verdana" w:cs="Verdana"/>
          <w:highlight w:val="white"/>
        </w:rPr>
        <w:t>77</w:t>
      </w:r>
      <w:r>
        <w:rPr>
          <w:rFonts w:ascii="Verdana" w:eastAsia="Verdana" w:hAnsi="Verdana" w:cs="Verdana"/>
          <w:highlight w:val="white"/>
        </w:rPr>
        <w:t xml:space="preserve"> del decreto No. 066 de 2008.</w:t>
      </w:r>
    </w:p>
    <w:p w14:paraId="00000014" w14:textId="77777777"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t>Que corresponde al ICBF en cumplimiento de su misión institucional, garantizar el pleno ejercicio de los derechos de los niños, niñas y adolescentes, entre los cuales se encuentra el derecho al nombre y los demás que de este se derivan, por ello, de conformidad con las normas que regulan la materia debe atender las solicitudes de pruebas para establecer la filiación de los menores de edad ordenadas por las autoridades competentes, dentro de los procesos judiciales de investigación de paternidad y maternidad</w:t>
      </w:r>
      <w:r>
        <w:rPr>
          <w:rFonts w:ascii="Verdana" w:eastAsia="Verdana" w:hAnsi="Verdana" w:cs="Verdana"/>
          <w:highlight w:val="white"/>
        </w:rPr>
        <w:t xml:space="preserve"> en todo el país, lo cual obliga a la celebración del contrato con la Institución idónea al efecto.</w:t>
      </w:r>
    </w:p>
    <w:p w14:paraId="00000015" w14:textId="77777777"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lastRenderedPageBreak/>
        <w:t>Que el presupuesto oficial estimado para esta contratación es de hasta el valor de Cuatro Mil Dieciséis Millones de Pesos M/cte ($4'016.000.000.00) incluidos todos los impuestos, de acuerdo al certificado de disponibilidad presupuestal No. 136 del 21 de enero de 2008.</w:t>
      </w:r>
    </w:p>
    <w:p w14:paraId="00000016" w14:textId="7D65BB59"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t xml:space="preserve">Que en el marco de la Ley </w:t>
      </w:r>
      <w:r w:rsidR="003B3225">
        <w:rPr>
          <w:rFonts w:ascii="Verdana" w:eastAsia="Verdana" w:hAnsi="Verdana" w:cs="Verdana"/>
          <w:highlight w:val="white"/>
        </w:rPr>
        <w:t>721</w:t>
      </w:r>
      <w:r>
        <w:rPr>
          <w:rFonts w:ascii="Verdana" w:eastAsia="Verdana" w:hAnsi="Verdana" w:cs="Verdana"/>
          <w:highlight w:val="white"/>
        </w:rPr>
        <w:t xml:space="preserve"> de 2001 el Instituto Colombiano de Bienestar Familiar y el Instituto Nacional de Medicina Legal y Ciencias Forenses, suscribieron el convenio ínter administrativo No. 128 el 17 de septiembre de 2004 con el fin de aunar esfuerzos en la ejecución del proyecto de adecuación tecnológica, capacidad humana y física del laboratorio de ADN del INML y CF para adelantar estudios de filiación natural aplicando tecnología de punta.</w:t>
      </w:r>
    </w:p>
    <w:p w14:paraId="00000017" w14:textId="77777777"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t>Que los estudios y documentos previos se podrán consultar en la Oficina Jurídica de la Sede Nacional del Instituto Colombiano de Bienestar Familiar, Grupo de Contratos.</w:t>
      </w:r>
    </w:p>
    <w:p w14:paraId="00000018" w14:textId="77777777" w:rsidR="003B3225" w:rsidRDefault="00CC5859">
      <w:pPr>
        <w:spacing w:after="280" w:line="240" w:lineRule="auto"/>
        <w:jc w:val="both"/>
        <w:rPr>
          <w:rFonts w:ascii="Verdana" w:eastAsia="Verdana" w:hAnsi="Verdana" w:cs="Verdana"/>
          <w:i/>
          <w:iCs/>
          <w:highlight w:val="white"/>
        </w:rPr>
      </w:pPr>
      <w:r>
        <w:rPr>
          <w:rFonts w:ascii="Verdana" w:eastAsia="Verdana" w:hAnsi="Verdana" w:cs="Verdana"/>
          <w:highlight w:val="white"/>
        </w:rPr>
        <w:t>Que la selección del contratista se hará de manera DIRECTA, con el Instituto Nacional de Medicina Legal y Ciencias Forenses, toda vez que las obligaciones derivadas del mismo tienen relación directa con el objeto de la entidad de derecho público ejecutora señalados en el acto de creación, al tratarse de un establecimiento público del orden nacional, dotado de personería jurídica, patrimonio propio y autonomía administrativa, adscrito a la Fiscalía General de la Nación que tiene como misión fundamental apoya</w:t>
      </w:r>
      <w:r>
        <w:rPr>
          <w:rFonts w:ascii="Verdana" w:eastAsia="Verdana" w:hAnsi="Verdana" w:cs="Verdana"/>
          <w:highlight w:val="white"/>
        </w:rPr>
        <w:t xml:space="preserve">r la administración de justicia con pruebas periciales, para lo cual cuenta desde 1995 con un Laboratorio de Genética con cubrimiento nacional para la realización de pruebas de ADN, consistiendo el objeto del contrato a celebrar a </w:t>
      </w:r>
      <w:r>
        <w:rPr>
          <w:rFonts w:ascii="Verdana" w:eastAsia="Verdana" w:hAnsi="Verdana" w:cs="Verdana"/>
          <w:i/>
          <w:iCs/>
          <w:highlight w:val="white"/>
        </w:rPr>
        <w:t>realizar toma de muestras y análisis de las pruebas de paternidad o maternidad con marcadores genéticos de ADN”.</w:t>
      </w:r>
    </w:p>
    <w:p w14:paraId="00000019" w14:textId="77777777" w:rsidR="003B3225" w:rsidRDefault="00CC5859">
      <w:pPr>
        <w:spacing w:after="280" w:line="240" w:lineRule="auto"/>
        <w:jc w:val="both"/>
        <w:rPr>
          <w:rFonts w:ascii="Verdana" w:eastAsia="Verdana" w:hAnsi="Verdana" w:cs="Verdana"/>
          <w:highlight w:val="white"/>
        </w:rPr>
      </w:pPr>
      <w:r>
        <w:rPr>
          <w:rFonts w:ascii="Verdana" w:eastAsia="Verdana" w:hAnsi="Verdana" w:cs="Verdana"/>
          <w:highlight w:val="white"/>
        </w:rPr>
        <w:t>Que en mérito de lo expuesto se</w:t>
      </w:r>
    </w:p>
    <w:p w14:paraId="0000001A" w14:textId="77777777" w:rsidR="003B3225" w:rsidRDefault="00CC5859">
      <w:pPr>
        <w:spacing w:after="280" w:line="240" w:lineRule="auto"/>
        <w:jc w:val="center"/>
        <w:rPr>
          <w:rFonts w:ascii="Verdana" w:eastAsia="Verdana" w:hAnsi="Verdana" w:cs="Verdana"/>
          <w:b/>
          <w:bCs/>
          <w:highlight w:val="white"/>
        </w:rPr>
      </w:pPr>
      <w:r>
        <w:rPr>
          <w:rFonts w:ascii="Verdana" w:eastAsia="Verdana" w:hAnsi="Verdana" w:cs="Verdana"/>
          <w:b/>
          <w:bCs/>
          <w:highlight w:val="white"/>
        </w:rPr>
        <w:t>RESUELVE</w:t>
      </w:r>
    </w:p>
    <w:p w14:paraId="0000001B" w14:textId="154C4376" w:rsidR="003B3225" w:rsidRDefault="00CC5859">
      <w:pPr>
        <w:spacing w:after="280" w:line="240" w:lineRule="auto"/>
        <w:jc w:val="both"/>
        <w:rPr>
          <w:rFonts w:ascii="Verdana" w:eastAsia="Verdana" w:hAnsi="Verdana" w:cs="Verdana"/>
          <w:highlight w:val="white"/>
        </w:rPr>
      </w:pPr>
      <w:r>
        <w:rPr>
          <w:rFonts w:ascii="Verdana" w:eastAsia="Verdana" w:hAnsi="Verdana" w:cs="Verdana"/>
          <w:b/>
          <w:bCs/>
          <w:highlight w:val="white"/>
        </w:rPr>
        <w:t>ARTÍCULO 1o.</w:t>
      </w:r>
      <w:r>
        <w:rPr>
          <w:rFonts w:ascii="Verdana" w:eastAsia="Verdana" w:hAnsi="Verdana" w:cs="Verdana"/>
          <w:highlight w:val="white"/>
        </w:rPr>
        <w:t xml:space="preserve"> Declarar justificada la modalidad de selección para la escogencia del contratista mediante contratación directa, de conformidad con el literal c) del numeral 4 del artículo </w:t>
      </w:r>
      <w:r w:rsidR="003B3225">
        <w:rPr>
          <w:rFonts w:ascii="Verdana" w:eastAsia="Verdana" w:hAnsi="Verdana" w:cs="Verdana"/>
          <w:highlight w:val="white"/>
        </w:rPr>
        <w:t>2</w:t>
      </w:r>
      <w:r>
        <w:rPr>
          <w:rFonts w:ascii="Verdana" w:eastAsia="Verdana" w:hAnsi="Verdana" w:cs="Verdana"/>
          <w:highlight w:val="white"/>
        </w:rPr>
        <w:t xml:space="preserve"> de la ley 1150 de 2007 y el artículo </w:t>
      </w:r>
      <w:r w:rsidR="003B3225">
        <w:rPr>
          <w:rFonts w:ascii="Verdana" w:eastAsia="Verdana" w:hAnsi="Verdana" w:cs="Verdana"/>
          <w:highlight w:val="white"/>
        </w:rPr>
        <w:t>77</w:t>
      </w:r>
      <w:r>
        <w:rPr>
          <w:rFonts w:ascii="Verdana" w:eastAsia="Verdana" w:hAnsi="Verdana" w:cs="Verdana"/>
          <w:highlight w:val="white"/>
        </w:rPr>
        <w:t xml:space="preserve"> del decreto No. 066 de 2008.</w:t>
      </w:r>
    </w:p>
    <w:p w14:paraId="0000001C" w14:textId="77777777" w:rsidR="003B3225" w:rsidRDefault="00CC5859">
      <w:pPr>
        <w:spacing w:after="280" w:line="240" w:lineRule="auto"/>
        <w:jc w:val="both"/>
        <w:rPr>
          <w:rFonts w:ascii="Verdana" w:eastAsia="Verdana" w:hAnsi="Verdana" w:cs="Verdana"/>
          <w:highlight w:val="white"/>
        </w:rPr>
      </w:pPr>
      <w:r>
        <w:rPr>
          <w:rFonts w:ascii="Verdana" w:eastAsia="Verdana" w:hAnsi="Verdana" w:cs="Verdana"/>
          <w:b/>
          <w:bCs/>
          <w:highlight w:val="white"/>
        </w:rPr>
        <w:t>ARTÍCULO 2o.</w:t>
      </w:r>
      <w:r>
        <w:rPr>
          <w:rFonts w:ascii="Verdana" w:eastAsia="Verdana" w:hAnsi="Verdana" w:cs="Verdana"/>
          <w:highlight w:val="white"/>
        </w:rPr>
        <w:t xml:space="preserve"> Ordenar la celebración de un Convenio Interadministrativo con el Instituto Nacional de Medicina Legal y Ciencias Forenses cuyo objeto es </w:t>
      </w:r>
      <w:r>
        <w:rPr>
          <w:rFonts w:ascii="Verdana" w:eastAsia="Verdana" w:hAnsi="Verdana" w:cs="Verdana"/>
          <w:i/>
          <w:iCs/>
          <w:highlight w:val="white"/>
        </w:rPr>
        <w:t>“realizar toma de muestras y análisis de las pruebas de paternidad o maternidad con marcadores genéticos de ADN”</w:t>
      </w:r>
      <w:r>
        <w:rPr>
          <w:rFonts w:ascii="Verdana" w:eastAsia="Verdana" w:hAnsi="Verdana" w:cs="Verdana"/>
          <w:highlight w:val="white"/>
        </w:rPr>
        <w:t>, de acuerdo con lo expuesto en la parte motiva de este acto administrativo y los estudios previos realizados para el efecto.</w:t>
      </w:r>
    </w:p>
    <w:p w14:paraId="0000001D" w14:textId="77777777" w:rsidR="003B3225" w:rsidRDefault="00CC5859">
      <w:pPr>
        <w:spacing w:after="280" w:line="240" w:lineRule="auto"/>
        <w:jc w:val="both"/>
        <w:rPr>
          <w:rFonts w:ascii="Verdana" w:eastAsia="Verdana" w:hAnsi="Verdana" w:cs="Verdana"/>
          <w:highlight w:val="white"/>
        </w:rPr>
      </w:pPr>
      <w:r>
        <w:rPr>
          <w:rFonts w:ascii="Verdana" w:eastAsia="Verdana" w:hAnsi="Verdana" w:cs="Verdana"/>
          <w:b/>
          <w:bCs/>
          <w:highlight w:val="white"/>
        </w:rPr>
        <w:t>ARTÍCULO 3o.</w:t>
      </w:r>
      <w:r>
        <w:rPr>
          <w:rFonts w:ascii="Verdana" w:eastAsia="Verdana" w:hAnsi="Verdana" w:cs="Verdana"/>
          <w:highlight w:val="white"/>
        </w:rPr>
        <w:t xml:space="preserve"> La presente resolución rige a partir de la fecha de su expedición.</w:t>
      </w:r>
    </w:p>
    <w:p w14:paraId="0000001E" w14:textId="77777777" w:rsidR="003B3225" w:rsidRDefault="003B3225">
      <w:pPr>
        <w:spacing w:after="280" w:line="240" w:lineRule="auto"/>
        <w:jc w:val="both"/>
        <w:rPr>
          <w:rFonts w:ascii="Verdana" w:eastAsia="Verdana" w:hAnsi="Verdana" w:cs="Verdana"/>
          <w:highlight w:val="white"/>
        </w:rPr>
      </w:pPr>
    </w:p>
    <w:p w14:paraId="0000001F" w14:textId="77777777" w:rsidR="003B3225" w:rsidRDefault="003B3225">
      <w:pPr>
        <w:spacing w:after="280" w:line="240" w:lineRule="auto"/>
        <w:jc w:val="both"/>
        <w:rPr>
          <w:rFonts w:ascii="Verdana" w:eastAsia="Verdana" w:hAnsi="Verdana" w:cs="Verdana"/>
          <w:highlight w:val="white"/>
        </w:rPr>
      </w:pPr>
    </w:p>
    <w:p w14:paraId="00000020" w14:textId="77777777" w:rsidR="003B3225" w:rsidRDefault="00CC5859">
      <w:pPr>
        <w:spacing w:after="280" w:line="240" w:lineRule="auto"/>
        <w:jc w:val="center"/>
        <w:rPr>
          <w:rFonts w:ascii="Verdana" w:eastAsia="Verdana" w:hAnsi="Verdana" w:cs="Verdana"/>
          <w:b/>
          <w:bCs/>
          <w:highlight w:val="white"/>
        </w:rPr>
      </w:pPr>
      <w:r>
        <w:rPr>
          <w:rFonts w:ascii="Verdana" w:eastAsia="Verdana" w:hAnsi="Verdana" w:cs="Verdana"/>
          <w:b/>
          <w:bCs/>
          <w:highlight w:val="white"/>
        </w:rPr>
        <w:t>PUBLÍQUESE, COMUNÍQUESE Y CÚMPLASE</w:t>
      </w:r>
    </w:p>
    <w:p w14:paraId="00000021" w14:textId="77777777" w:rsidR="003B3225" w:rsidRDefault="00CC5859">
      <w:pPr>
        <w:spacing w:after="280" w:line="240" w:lineRule="auto"/>
        <w:jc w:val="center"/>
        <w:rPr>
          <w:rFonts w:ascii="Verdana" w:eastAsia="Verdana" w:hAnsi="Verdana" w:cs="Verdana"/>
          <w:highlight w:val="white"/>
        </w:rPr>
      </w:pPr>
      <w:r>
        <w:rPr>
          <w:rFonts w:ascii="Verdana" w:eastAsia="Verdana" w:hAnsi="Verdana" w:cs="Verdana"/>
          <w:highlight w:val="white"/>
        </w:rPr>
        <w:lastRenderedPageBreak/>
        <w:t>Dada en Bogotá D. C. a los 24 días de enero de 2008.</w:t>
      </w:r>
    </w:p>
    <w:p w14:paraId="00000022" w14:textId="77777777" w:rsidR="003B3225" w:rsidRDefault="00CC5859">
      <w:pPr>
        <w:spacing w:after="280" w:line="240" w:lineRule="auto"/>
        <w:jc w:val="center"/>
        <w:rPr>
          <w:rFonts w:ascii="Verdana" w:eastAsia="Verdana" w:hAnsi="Verdana" w:cs="Verdana"/>
          <w:b/>
          <w:bCs/>
          <w:highlight w:val="white"/>
        </w:rPr>
      </w:pPr>
      <w:r>
        <w:rPr>
          <w:rFonts w:ascii="Verdana" w:eastAsia="Verdana" w:hAnsi="Verdana" w:cs="Verdana"/>
          <w:b/>
          <w:bCs/>
          <w:highlight w:val="white"/>
        </w:rPr>
        <w:t>LUZ MILA CARDONA ARCE</w:t>
      </w:r>
    </w:p>
    <w:p w14:paraId="00000023" w14:textId="77777777" w:rsidR="003B3225" w:rsidRDefault="00CC5859">
      <w:pPr>
        <w:spacing w:after="280" w:line="240" w:lineRule="auto"/>
        <w:jc w:val="center"/>
        <w:rPr>
          <w:rFonts w:ascii="Verdana" w:eastAsia="Verdana" w:hAnsi="Verdana" w:cs="Verdana"/>
          <w:highlight w:val="white"/>
        </w:rPr>
      </w:pPr>
      <w:r>
        <w:rPr>
          <w:rFonts w:ascii="Verdana" w:eastAsia="Verdana" w:hAnsi="Verdana" w:cs="Verdana"/>
          <w:highlight w:val="white"/>
        </w:rPr>
        <w:t>DIRECTORA TÉCNICA</w:t>
      </w:r>
    </w:p>
    <w:p w14:paraId="00000024" w14:textId="77777777" w:rsidR="003B3225" w:rsidRDefault="003B3225">
      <w:pPr>
        <w:jc w:val="center"/>
        <w:rPr>
          <w:rFonts w:ascii="Verdana" w:eastAsia="Verdana" w:hAnsi="Verdana" w:cs="Verdana"/>
          <w:highlight w:val="white"/>
        </w:rPr>
      </w:pPr>
    </w:p>
    <w:sectPr w:rsidR="003B32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326CD1A-B159-4084-B7D2-90F9B821DDEF}"/>
    <w:embedBold r:id="rId2" w:fontKey="{AB78493B-8E20-4FE9-903C-1A63EA055B4B}"/>
    <w:embedItalic r:id="rId3" w:fontKey="{2013A0DC-7671-4CA9-8607-291D6C400C0B}"/>
  </w:font>
  <w:font w:name="Calibri">
    <w:panose1 w:val="020F0502020204030204"/>
    <w:charset w:val="00"/>
    <w:family w:val="swiss"/>
    <w:pitch w:val="variable"/>
    <w:sig w:usb0="E4002EFF" w:usb1="C200247B" w:usb2="00000009" w:usb3="00000000" w:csb0="000001FF" w:csb1="00000000"/>
    <w:embedRegular r:id="rId4" w:fontKey="{701AF14F-C879-4472-8CA8-7CCF23B48881}"/>
  </w:font>
  <w:font w:name="Cambria">
    <w:panose1 w:val="02040503050406030204"/>
    <w:charset w:val="00"/>
    <w:family w:val="roman"/>
    <w:pitch w:val="variable"/>
    <w:sig w:usb0="E00006FF" w:usb1="420024FF" w:usb2="02000000" w:usb3="00000000" w:csb0="0000019F" w:csb1="00000000"/>
    <w:embedRegular r:id="rId5" w:fontKey="{1FA79A0F-8FA4-43B0-91C4-0F78EDE24F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25"/>
    <w:rsid w:val="00352FF6"/>
    <w:rsid w:val="003B3225"/>
    <w:rsid w:val="00665FDA"/>
    <w:rsid w:val="00CC5859"/>
    <w:rsid w:val="00DF7057"/>
    <w:rsid w:val="00E24C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93ACE-681E-4C54-9473-D5577678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2353AA-892A-4941-8A85-1836D547E9B6}"/>
</file>

<file path=customXml/itemProps2.xml><?xml version="1.0" encoding="utf-8"?>
<ds:datastoreItem xmlns:ds="http://schemas.openxmlformats.org/officeDocument/2006/customXml" ds:itemID="{5E444E9B-1007-466D-9B47-1E733063122E}"/>
</file>

<file path=customXml/itemProps3.xml><?xml version="1.0" encoding="utf-8"?>
<ds:datastoreItem xmlns:ds="http://schemas.openxmlformats.org/officeDocument/2006/customXml" ds:itemID="{88E89783-A3EC-4DDA-ABC5-DEAB56166FDB}"/>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4183</Characters>
  <Application>Microsoft Office Word</Application>
  <DocSecurity>0</DocSecurity>
  <Lines>34</Lines>
  <Paragraphs>9</Paragraphs>
  <ScaleCrop>false</ScaleCrop>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2026-01-28T15:38:00Z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