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4CBF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1346 DE 2010</w:t>
      </w:r>
    </w:p>
    <w:p w14:paraId="00000002" w14:textId="77777777" w:rsidR="00E44CBF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25 de marzo de 2010</w:t>
      </w:r>
    </w:p>
    <w:p w14:paraId="00000003" w14:textId="77777777" w:rsidR="00E44CBF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 25 de marzo de 2010</w:t>
      </w:r>
    </w:p>
    <w:p w14:paraId="00000004" w14:textId="40DA56CF" w:rsidR="00E44CBF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E44CBF">
        <w:rPr>
          <w:rFonts w:ascii="Verdana" w:eastAsia="Verdana" w:hAnsi="Verdana" w:cs="Verdana"/>
          <w:highlight w:val="white"/>
        </w:rPr>
        <w:t>3</w:t>
      </w:r>
      <w:r>
        <w:rPr>
          <w:rFonts w:ascii="Verdana" w:eastAsia="Verdana" w:hAnsi="Verdana" w:cs="Verdana"/>
          <w:highlight w:val="white"/>
        </w:rPr>
        <w:t xml:space="preserve"> de la Resolución 1414 de 2012</w:t>
      </w:r>
    </w:p>
    <w:p w14:paraId="00000005" w14:textId="77777777" w:rsidR="00E44CBF" w:rsidRDefault="00E44CBF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E44CBF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Oficial:9 de abril de 2010</w:t>
      </w:r>
    </w:p>
    <w:p w14:paraId="00000007" w14:textId="77777777" w:rsidR="00E44CBF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 xml:space="preserve">No. 47.675 </w:t>
      </w:r>
    </w:p>
    <w:p w14:paraId="00000008" w14:textId="77777777" w:rsidR="00E44CBF" w:rsidRDefault="00E44CBF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E44CBF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1346 DE 2010</w:t>
      </w:r>
    </w:p>
    <w:p w14:paraId="0000000A" w14:textId="77777777" w:rsidR="00E44CBF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(25 de marzo)</w:t>
      </w:r>
    </w:p>
    <w:p w14:paraId="0000000B" w14:textId="77777777" w:rsidR="00E44CBF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C" w14:textId="54F22552" w:rsidR="00E44CBF" w:rsidRDefault="00000000">
      <w:pPr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“Por la cual se unifica la estructura y funciones del Comité de Seguimiento para la implementación del Código de la Infancia y la Adolescencia -Ley </w:t>
      </w:r>
      <w:r w:rsidR="00E44CBF">
        <w:rPr>
          <w:rFonts w:ascii="Verdana" w:eastAsia="Verdana" w:hAnsi="Verdana" w:cs="Verdana"/>
          <w:highlight w:val="white"/>
        </w:rPr>
        <w:t>1098</w:t>
      </w:r>
      <w:r>
        <w:rPr>
          <w:rFonts w:ascii="Verdana" w:eastAsia="Verdana" w:hAnsi="Verdana" w:cs="Verdana"/>
          <w:highlight w:val="white"/>
        </w:rPr>
        <w:t xml:space="preserve"> de 2006-, de conformidad con lo dispuesto en el Decreto </w:t>
      </w:r>
      <w:r w:rsidR="00E44CBF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2010.”.</w:t>
      </w:r>
    </w:p>
    <w:p w14:paraId="0000000D" w14:textId="77777777" w:rsidR="00E44CBF" w:rsidRDefault="00E44CBF">
      <w:pPr>
        <w:jc w:val="center"/>
        <w:rPr>
          <w:rFonts w:ascii="Verdana" w:eastAsia="Verdana" w:hAnsi="Verdana" w:cs="Verdana"/>
          <w:highlight w:val="white"/>
        </w:rPr>
      </w:pPr>
    </w:p>
    <w:p w14:paraId="0000000E" w14:textId="77777777" w:rsidR="00E44CBF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0F" w14:textId="523B10CB" w:rsidR="00E44CBF" w:rsidRDefault="00000000">
      <w:pPr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la Ley </w:t>
      </w:r>
      <w:r w:rsidR="00E44CBF">
        <w:rPr>
          <w:rFonts w:ascii="Verdana" w:eastAsia="Verdana" w:hAnsi="Verdana" w:cs="Verdana"/>
          <w:highlight w:val="white"/>
        </w:rPr>
        <w:t>7</w:t>
      </w:r>
      <w:r>
        <w:rPr>
          <w:rFonts w:ascii="Verdana" w:eastAsia="Verdana" w:hAnsi="Verdana" w:cs="Verdana"/>
          <w:highlight w:val="white"/>
        </w:rPr>
        <w:t xml:space="preserve">ª de 1979, artículo </w:t>
      </w:r>
      <w:r w:rsidR="00E44CBF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Decreto </w:t>
      </w:r>
      <w:r w:rsidR="00E44CBF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2010, y</w:t>
      </w:r>
    </w:p>
    <w:p w14:paraId="00000010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7AC82D02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44CBF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ordena que la función administrativa debe desarrollarse al servicio de los intereses generales bajo los principios de igualdad, moralidad, eficacia, economía, celeridad, imparcialidad y publicidad, mediante la descentralización, delegación y desconcentración de funciones;</w:t>
      </w:r>
    </w:p>
    <w:p w14:paraId="00000012" w14:textId="443888D9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Gobierno Nacional expidió el Decreto </w:t>
      </w:r>
      <w:r w:rsidR="00E44CBF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 por el cual aprobó la estructura del Instituto Colombiano de Bienestar Familiar Cecilia de la Fuente de Lleras y determinó las funciones de sus diferentes dependencias;</w:t>
      </w:r>
    </w:p>
    <w:p w14:paraId="00000013" w14:textId="712C1FEE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parágrafo del artículo </w:t>
      </w:r>
      <w:r w:rsidR="00E44CBF">
        <w:rPr>
          <w:rFonts w:ascii="Verdana" w:eastAsia="Verdana" w:hAnsi="Verdana" w:cs="Verdana"/>
        </w:rPr>
        <w:t>36</w:t>
      </w:r>
      <w:r>
        <w:rPr>
          <w:rFonts w:ascii="Verdana" w:eastAsia="Verdana" w:hAnsi="Verdana" w:cs="Verdana"/>
        </w:rPr>
        <w:t xml:space="preserve"> del Decreto 117 de 2010, la Dirección General está facultada para crear los comités que considere necesarios para la adecuada atención de los asuntos del Instituto y para el efecto determinará sus funciones;</w:t>
      </w:r>
    </w:p>
    <w:p w14:paraId="00000014" w14:textId="5FEDC06F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se hace necesario determinar la estructura y funciones del Comité de Seguimiento para la Implementación del Código de la Infancia y la Adolescencia -Ley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2006-, de conformidad con lo dispuesto en el Decreto </w:t>
      </w:r>
      <w:r w:rsidR="00E44CBF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2010;</w:t>
      </w:r>
    </w:p>
    <w:p w14:paraId="00000015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6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6B6390A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ESTRUCTURA Y OBJETO. </w:t>
      </w:r>
      <w:r>
        <w:rPr>
          <w:rFonts w:ascii="Verdana" w:eastAsia="Verdana" w:hAnsi="Verdana" w:cs="Verdana"/>
        </w:rPr>
        <w:t xml:space="preserve">En el Instituto Colombiano de Bienestar Familiar –Cecilia de la Fuente de Lleras, continuará operando el Comité de Implementación y Seguimiento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2006-Código de la Infancia y la Adolescencia, como una instancia de la Dirección General para orientar sus decisiones armonizando y consolidando las tareas que en materia de infancia y adolescencia se estén desarrollando en las diferentes dependencias y así generar alertas en relación con las responsabilidades que señala el Código al Instituto.</w:t>
      </w:r>
    </w:p>
    <w:p w14:paraId="00000018" w14:textId="0B84DFB8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</w:t>
      </w:r>
      <w:r>
        <w:rPr>
          <w:rFonts w:ascii="Verdana" w:eastAsia="Verdana" w:hAnsi="Verdana" w:cs="Verdana"/>
          <w:b/>
          <w:bCs/>
          <w:i/>
          <w:iCs/>
        </w:rPr>
        <w:t>INTEGRACIÓN</w:t>
      </w:r>
      <w:r>
        <w:rPr>
          <w:rFonts w:ascii="Verdana" w:eastAsia="Verdana" w:hAnsi="Verdana" w:cs="Verdana"/>
          <w:b/>
          <w:bCs/>
        </w:rPr>
        <w:t xml:space="preserve">. </w:t>
      </w:r>
      <w:r>
        <w:rPr>
          <w:rFonts w:ascii="Verdana" w:eastAsia="Verdana" w:hAnsi="Verdana" w:cs="Verdana"/>
        </w:rPr>
        <w:t>El Comité, estará conformado por los siguientes servidores públicos de la entidad quienes actuarán con voz y voto, así:</w:t>
      </w:r>
    </w:p>
    <w:p w14:paraId="00000019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Un delegado de la Dirección General.</w:t>
      </w:r>
    </w:p>
    <w:p w14:paraId="0000001A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La Secretaría General</w:t>
      </w:r>
    </w:p>
    <w:p w14:paraId="0000001B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El Jefe Oficina Asesora Jurídica, representado por el Coordinador del Grupo de Familia.</w:t>
      </w:r>
    </w:p>
    <w:p w14:paraId="0000001C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La Dirección de Protección, representada por la Subdirección de Restablecimiento de Derechos, la Subdirección de Responsabilidad Penal y la Subdirección de Adopciones.</w:t>
      </w:r>
    </w:p>
    <w:p w14:paraId="0000001D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La Dirección de Prevención, representada por la Subdirección de Nutrición, Subdirección de Primera Infancia, Subdirección de Niñez y Adolescencia y la Subdirección de Familia.</w:t>
      </w:r>
    </w:p>
    <w:p w14:paraId="0000001E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6. La Dirección de Planeación y Control de Gestión, representado por la Subdirección de Programación, Subdirección de Mejoramiento Organizacional y Subdirección de Evaluación.</w:t>
      </w:r>
    </w:p>
    <w:p w14:paraId="0000001F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La Dirección del Sistema Nacional de Bienestar Familiar representado por la</w:t>
      </w:r>
    </w:p>
    <w:p w14:paraId="00000020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Subdirección de Articulación Nacional del Sistema Nacional de Bienestar Familiar y la</w:t>
      </w:r>
    </w:p>
    <w:p w14:paraId="00000021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Subdirección de Articulación Regional del sistema Nacional de Bienestar Familiar.</w:t>
      </w:r>
    </w:p>
    <w:p w14:paraId="00000022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La Dirección de Información y Tecnología, representada por la Subdirección de Sistemas Integrados de Información y la Subdirección de Recursos Tecnológicos.</w:t>
      </w:r>
    </w:p>
    <w:p w14:paraId="00000023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La Dirección Administrativa, representado por la Coordinación del Grupo de Infraestructura.</w:t>
      </w:r>
    </w:p>
    <w:p w14:paraId="00000024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PARÁGRAFO 1o. Las reuniones del Comité de Implementación y Seguimiento a la Ley de Infancia y Adolescencia, serán presididas por la Secretaria General y en caso de ausencia por la Secretaria Técnica del Comité.</w:t>
      </w:r>
    </w:p>
    <w:p w14:paraId="00000025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2o.</w:t>
      </w:r>
      <w:r>
        <w:rPr>
          <w:rFonts w:ascii="Verdana" w:eastAsia="Verdana" w:hAnsi="Verdana" w:cs="Verdana"/>
        </w:rPr>
        <w:t xml:space="preserve"> Podrán asistir a las reuniones del Comité, como invitados, otros servidores públicos de las dependencias del ICBF, entidades públicas o privadas cuya presencia se considere conveniente.</w:t>
      </w:r>
    </w:p>
    <w:p w14:paraId="00000026" w14:textId="03875D1B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FUNCIONES.</w:t>
      </w:r>
      <w:r>
        <w:rPr>
          <w:rFonts w:ascii="Verdana" w:eastAsia="Verdana" w:hAnsi="Verdana" w:cs="Verdana"/>
        </w:rPr>
        <w:t xml:space="preserve"> El Comité ejercerá las siguientes funciones:</w:t>
      </w:r>
    </w:p>
    <w:p w14:paraId="00000027" w14:textId="691DD104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1. Armonizar, articular y consolidar las acciones, instrumentos y estrategias que permitan la implementación y seguimiento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a través de un Plan Operativo General.</w:t>
      </w:r>
    </w:p>
    <w:p w14:paraId="00000028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Consolidar la ejecución y el cumplimiento de las actividades definidas en el Plan Operativo General, con cada área responsable del Instituto.</w:t>
      </w:r>
    </w:p>
    <w:p w14:paraId="00000029" w14:textId="1F6059AE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3. Elaborar un Plan Operativo General que facilite la realización del seguimiento a la implementación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2006- Código de la Infancia y la Adolescencia.</w:t>
      </w:r>
    </w:p>
    <w:p w14:paraId="0000002A" w14:textId="1F14C973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4. Realizar seguimiento trimestral al plan operativo, establecer las dificultades y oportunidades presentadas en desarrollo de la implementación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 y proponer alternativas de solución tanto a la Dirección General del Instituto, como a los dueños de los procesos.</w:t>
      </w:r>
    </w:p>
    <w:p w14:paraId="0000002B" w14:textId="1D4D490C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5. Consolidar y presentar a la Dirección General del ICBF la ejecución y el cumplimiento de las actividades definidas en el Plan Operativo General, con cada área responsable del Instituto, en la implementación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2006 -Código de la Infancia y la Adolescencia-.</w:t>
      </w:r>
    </w:p>
    <w:p w14:paraId="0000002C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Presentar a la Dirección General informes trimestrales sobre la labor desarrollada por el Comité.</w:t>
      </w:r>
    </w:p>
    <w:p w14:paraId="0000002D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Apoyar a la Dirección General, entregando oportunamente la información requerida o conducente en materia de infancia y adolescencia y proponerle líneas de acción.</w:t>
      </w:r>
    </w:p>
    <w:p w14:paraId="0000002E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Consolidar las tareas desarrolladas por las dependencias que integran el Comité, con el fin de mantener actualizadas las responsabilidades que asigna la Ley 1098 de 2006 al Instituto.</w:t>
      </w:r>
    </w:p>
    <w:p w14:paraId="0000002F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Solicitar las tareas desarrolladas en materia de infancia, a cada área responsable.</w:t>
      </w:r>
    </w:p>
    <w:p w14:paraId="00000030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10. Las demás que le asigne la Dirección General.</w:t>
      </w:r>
    </w:p>
    <w:p w14:paraId="00000031" w14:textId="7B0B7E51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SECRETARÍA TÉCNICA.</w:t>
      </w:r>
      <w:r>
        <w:rPr>
          <w:rFonts w:ascii="Verdana" w:eastAsia="Verdana" w:hAnsi="Verdana" w:cs="Verdana"/>
        </w:rPr>
        <w:t xml:space="preserve"> La Subdirectora de Evaluación del Instituto Colombiano de Bienestar Familiar ICBF, ejercerá la Secretaría Técnica del Comité y cumplirá las siguientes funciones:</w:t>
      </w:r>
    </w:p>
    <w:p w14:paraId="00000032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1. Convocar a las sesiones ordinarias y extraordinarias.</w:t>
      </w:r>
    </w:p>
    <w:p w14:paraId="00000033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Elaborar el orden del día de cada reunión.</w:t>
      </w:r>
    </w:p>
    <w:p w14:paraId="00000034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Elaborar y archivar, las actas de cada sesión del Comité, los antecedentes y demás soportes documentales.</w:t>
      </w:r>
    </w:p>
    <w:p w14:paraId="00000035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Coordinar el cumplimiento de las funciones del Comité, en cada una de las líneas de acción.</w:t>
      </w:r>
    </w:p>
    <w:p w14:paraId="00000036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Verificar el cumplimiento de las decisiones adoptadas por el Comité, en cada una de las líneas de acción.</w:t>
      </w:r>
    </w:p>
    <w:p w14:paraId="00000037" w14:textId="2D2CE8CB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6. Preparar los informes de los avances tanto al seguimiento y cumplimiento al Plan Operativo General como a la implementación de la Ley </w:t>
      </w:r>
      <w:r w:rsidR="00E44CB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2006 -Código de la Infancia y la Adolescencia-, que será entregado a sus integrantes.</w:t>
      </w:r>
    </w:p>
    <w:p w14:paraId="00000038" w14:textId="77777777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Las demás que le sean asignadas por el Comité.</w:t>
      </w:r>
    </w:p>
    <w:p w14:paraId="00000039" w14:textId="02F9DB65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5o. QUÓRUM. </w:t>
      </w:r>
      <w:r>
        <w:rPr>
          <w:rFonts w:ascii="Verdana" w:eastAsia="Verdana" w:hAnsi="Verdana" w:cs="Verdana"/>
        </w:rPr>
        <w:t>El Comité, sesionará válidamente con un mínimo de cinco (5) de sus miembros y adoptará las decisiones por mayoría simple de los asistentes.</w:t>
      </w:r>
    </w:p>
    <w:p w14:paraId="0000003A" w14:textId="46626FCF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6o. </w:t>
      </w:r>
      <w:r>
        <w:rPr>
          <w:rFonts w:ascii="Verdana" w:eastAsia="Verdana" w:hAnsi="Verdana" w:cs="Verdana"/>
          <w:b/>
          <w:bCs/>
          <w:i/>
          <w:iCs/>
        </w:rPr>
        <w:t>REUNIONES</w:t>
      </w:r>
      <w:r>
        <w:rPr>
          <w:rFonts w:ascii="Verdana" w:eastAsia="Verdana" w:hAnsi="Verdana" w:cs="Verdana"/>
          <w:b/>
          <w:bCs/>
        </w:rPr>
        <w:t xml:space="preserve">. </w:t>
      </w:r>
      <w:r>
        <w:rPr>
          <w:rFonts w:ascii="Verdana" w:eastAsia="Verdana" w:hAnsi="Verdana" w:cs="Verdana"/>
        </w:rPr>
        <w:t>El Comité se reunirá en forma ordinaria cada treinta (30) días y extraordinariamente cuando así lo solicite cualquiera de sus miembros o la Secretaría Técnica.</w:t>
      </w:r>
    </w:p>
    <w:p w14:paraId="0000003B" w14:textId="10969B59" w:rsidR="00E44CBF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VIGENCIA.</w:t>
      </w:r>
      <w:r>
        <w:rPr>
          <w:rFonts w:ascii="Verdana" w:eastAsia="Verdana" w:hAnsi="Verdana" w:cs="Verdana"/>
        </w:rPr>
        <w:t xml:space="preserve"> </w:t>
      </w:r>
      <w:r w:rsidR="00D0264E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E44CBF"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 xml:space="preserve"> de la Resolución 1414 de 2012</w:t>
      </w:r>
      <w:r w:rsidR="00D0264E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su expedición y deroga las Resoluciones número </w:t>
      </w:r>
      <w:r w:rsidR="00E44CBF">
        <w:rPr>
          <w:rFonts w:ascii="Verdana" w:eastAsia="Verdana" w:hAnsi="Verdana" w:cs="Verdana"/>
        </w:rPr>
        <w:t>1336</w:t>
      </w:r>
      <w:r>
        <w:rPr>
          <w:rFonts w:ascii="Verdana" w:eastAsia="Verdana" w:hAnsi="Verdana" w:cs="Verdana"/>
        </w:rPr>
        <w:t xml:space="preserve"> de 2007, </w:t>
      </w:r>
      <w:r w:rsidR="00E44CBF">
        <w:rPr>
          <w:rFonts w:ascii="Verdana" w:eastAsia="Verdana" w:hAnsi="Verdana" w:cs="Verdana"/>
        </w:rPr>
        <w:t>2287</w:t>
      </w:r>
      <w:r>
        <w:rPr>
          <w:rFonts w:ascii="Verdana" w:eastAsia="Verdana" w:hAnsi="Verdana" w:cs="Verdana"/>
        </w:rPr>
        <w:t xml:space="preserve"> de 2007 y </w:t>
      </w:r>
      <w:r w:rsidR="00E44CBF">
        <w:rPr>
          <w:rFonts w:ascii="Verdana" w:eastAsia="Verdana" w:hAnsi="Verdana" w:cs="Verdana"/>
        </w:rPr>
        <w:t>4488</w:t>
      </w:r>
      <w:r>
        <w:rPr>
          <w:rFonts w:ascii="Verdana" w:eastAsia="Verdana" w:hAnsi="Verdana" w:cs="Verdana"/>
        </w:rPr>
        <w:t xml:space="preserve"> de 2009.</w:t>
      </w:r>
    </w:p>
    <w:p w14:paraId="0000003C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0000003D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25 días  de marzo de 2010.</w:t>
      </w:r>
    </w:p>
    <w:p w14:paraId="0000003E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ELVIRA FORERO HERNÁNDEZ.</w:t>
      </w:r>
    </w:p>
    <w:p w14:paraId="0000003F" w14:textId="77777777" w:rsidR="00E44CBF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00000040" w14:textId="77777777" w:rsidR="00E44CBF" w:rsidRDefault="00E44CBF">
      <w:pPr>
        <w:rPr>
          <w:rFonts w:ascii="Verdana" w:eastAsia="Verdana" w:hAnsi="Verdana" w:cs="Verdana"/>
        </w:rPr>
      </w:pPr>
    </w:p>
    <w:sectPr w:rsidR="00E44CB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8FA4692-D2CB-4207-BAA0-EABEF7ED54FA}"/>
    <w:embedBold r:id="rId2" w:fontKey="{362FBB31-A584-49AB-9E4F-203B9D7C2422}"/>
    <w:embedBoldItalic r:id="rId3" w:fontKey="{77349A81-A7A9-4BF7-AB29-D271CF2814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54463F-39C2-4CC2-BDA2-B6BE1224F1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28ED58-2DF5-4879-9982-6A5F3846BF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CBF"/>
    <w:rsid w:val="001A0F97"/>
    <w:rsid w:val="0056388E"/>
    <w:rsid w:val="00D0264E"/>
    <w:rsid w:val="00E44CBF"/>
    <w:rsid w:val="00F5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821EE"/>
  <w15:docId w15:val="{895A499B-864E-4C77-843D-6D899E25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C1FC82-31C9-441F-A04F-4D394EAC3E3F}"/>
</file>

<file path=customXml/itemProps2.xml><?xml version="1.0" encoding="utf-8"?>
<ds:datastoreItem xmlns:ds="http://schemas.openxmlformats.org/officeDocument/2006/customXml" ds:itemID="{54DF32CF-9DA5-4BE1-AC49-102BBAADDD1A}"/>
</file>

<file path=customXml/itemProps3.xml><?xml version="1.0" encoding="utf-8"?>
<ds:datastoreItem xmlns:ds="http://schemas.openxmlformats.org/officeDocument/2006/customXml" ds:itemID="{271E6F5B-3C32-47B1-8AA9-1D21809F70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1157</Words>
  <Characters>6367</Characters>
  <Application>Microsoft Office Word</Application>
  <DocSecurity>0</DocSecurity>
  <Lines>53</Lines>
  <Paragraphs>15</Paragraphs>
  <ScaleCrop>false</ScaleCrop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2026-01-28T15:49:00Z</dcterms:created>
  <dcterms:modified xsi:type="dcterms:W3CDTF">2026-04-15T15:53:00Z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