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60B34" w:rsidRDefault="00000000">
      <w:pPr>
        <w:spacing w:after="160" w:line="240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RESOLUCIÓN 1345 DE 2010</w:t>
      </w:r>
    </w:p>
    <w:p w14:paraId="00000002" w14:textId="77777777" w:rsidR="00D60B34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Expedición: 25 de marzo de 2010</w:t>
      </w:r>
    </w:p>
    <w:p w14:paraId="00000003" w14:textId="77777777" w:rsidR="00D60B34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Fecha de entrada en vigencia: </w:t>
      </w:r>
      <w:r>
        <w:rPr>
          <w:rFonts w:ascii="Verdana" w:eastAsia="Verdana" w:hAnsi="Verdana" w:cs="Verdana"/>
          <w:highlight w:val="white"/>
        </w:rPr>
        <w:t>9 de abril de 2010</w:t>
      </w:r>
    </w:p>
    <w:p w14:paraId="00000004" w14:textId="509020EE" w:rsidR="00D60B34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Estado de la vigencia: </w:t>
      </w:r>
      <w:r>
        <w:rPr>
          <w:rFonts w:ascii="Verdana" w:eastAsia="Verdana" w:hAnsi="Verdana" w:cs="Verdana"/>
          <w:highlight w:val="white"/>
        </w:rPr>
        <w:t xml:space="preserve">Derogada por el artículo </w:t>
      </w:r>
      <w:r w:rsidR="00D60B34">
        <w:rPr>
          <w:rFonts w:ascii="Verdana" w:eastAsia="Verdana" w:hAnsi="Verdana" w:cs="Verdana"/>
          <w:highlight w:val="white"/>
        </w:rPr>
        <w:t>2</w:t>
      </w:r>
      <w:r>
        <w:rPr>
          <w:rFonts w:ascii="Verdana" w:eastAsia="Verdana" w:hAnsi="Verdana" w:cs="Verdana"/>
          <w:highlight w:val="white"/>
        </w:rPr>
        <w:t xml:space="preserve"> de la Resolución 3559 de 2013</w:t>
      </w:r>
    </w:p>
    <w:p w14:paraId="00000005" w14:textId="77777777" w:rsidR="00D60B34" w:rsidRDefault="00D60B34">
      <w:pPr>
        <w:spacing w:line="240" w:lineRule="auto"/>
        <w:rPr>
          <w:rFonts w:ascii="Verdana" w:eastAsia="Verdana" w:hAnsi="Verdana" w:cs="Verdana"/>
        </w:rPr>
      </w:pPr>
    </w:p>
    <w:p w14:paraId="00000006" w14:textId="77777777" w:rsidR="00D60B34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publicación en Diario Oficial:9 de abril de 2010</w:t>
      </w:r>
    </w:p>
    <w:p w14:paraId="00000007" w14:textId="77777777" w:rsidR="00D60B34" w:rsidRDefault="00000000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Número del Diario Oficial: </w:t>
      </w:r>
      <w:r>
        <w:rPr>
          <w:rFonts w:ascii="Verdana" w:eastAsia="Verdana" w:hAnsi="Verdana" w:cs="Verdana"/>
          <w:highlight w:val="white"/>
        </w:rPr>
        <w:t xml:space="preserve">No. 47.675 </w:t>
      </w:r>
    </w:p>
    <w:p w14:paraId="00000008" w14:textId="77777777" w:rsidR="00D60B34" w:rsidRDefault="00D60B34">
      <w:pPr>
        <w:spacing w:line="240" w:lineRule="auto"/>
        <w:rPr>
          <w:rFonts w:ascii="Verdana" w:eastAsia="Verdana" w:hAnsi="Verdana" w:cs="Verdana"/>
        </w:rPr>
      </w:pPr>
    </w:p>
    <w:p w14:paraId="00000009" w14:textId="77777777" w:rsidR="00D60B34" w:rsidRDefault="00000000">
      <w:pPr>
        <w:spacing w:after="16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1345 DE 2010</w:t>
      </w:r>
    </w:p>
    <w:p w14:paraId="0000000A" w14:textId="77777777" w:rsidR="00D60B34" w:rsidRDefault="00000000">
      <w:pPr>
        <w:spacing w:after="16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(25 de marzo)</w:t>
      </w:r>
    </w:p>
    <w:p w14:paraId="0000000B" w14:textId="77777777" w:rsidR="00D60B34" w:rsidRDefault="00000000">
      <w:pPr>
        <w:spacing w:after="16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 – ICBF</w:t>
      </w:r>
    </w:p>
    <w:p w14:paraId="0000000C" w14:textId="77777777" w:rsidR="00D60B34" w:rsidRDefault="00000000">
      <w:pPr>
        <w:jc w:val="center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highlight w:val="white"/>
        </w:rPr>
        <w:t>“Por la cual se estructura el Comité de Sistemas en la Dirección General del Instituto Colombiano de Bienestar Familiar Cecilia de la Fuente de Lleras y se deroga una Resolución”.</w:t>
      </w:r>
    </w:p>
    <w:p w14:paraId="0000000D" w14:textId="77777777" w:rsidR="00D60B34" w:rsidRDefault="00D60B34">
      <w:pPr>
        <w:jc w:val="center"/>
        <w:rPr>
          <w:rFonts w:ascii="Verdana" w:eastAsia="Verdana" w:hAnsi="Verdana" w:cs="Verdana"/>
          <w:highlight w:val="white"/>
        </w:rPr>
      </w:pPr>
    </w:p>
    <w:p w14:paraId="0000000E" w14:textId="77777777" w:rsidR="00D60B34" w:rsidRDefault="00000000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LA DIRECTORA GENERAL DEL INSTITUTO COLOMBIANO DE BIENESTAR FAMILIAR,</w:t>
      </w:r>
    </w:p>
    <w:p w14:paraId="0000000F" w14:textId="20AD2EE6" w:rsidR="00D60B34" w:rsidRDefault="00000000">
      <w:pPr>
        <w:spacing w:after="280" w:line="426" w:lineRule="auto"/>
        <w:jc w:val="center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highlight w:val="white"/>
        </w:rPr>
        <w:t xml:space="preserve">en uso de sus facultades constitucionales y legales, en especial las consagradas en el artículo </w:t>
      </w:r>
      <w:r w:rsidR="00D60B34">
        <w:rPr>
          <w:rFonts w:ascii="Verdana" w:eastAsia="Verdana" w:hAnsi="Verdana" w:cs="Verdana"/>
          <w:highlight w:val="white"/>
        </w:rPr>
        <w:t>78</w:t>
      </w:r>
      <w:r>
        <w:rPr>
          <w:rFonts w:ascii="Verdana" w:eastAsia="Verdana" w:hAnsi="Verdana" w:cs="Verdana"/>
          <w:highlight w:val="white"/>
        </w:rPr>
        <w:t xml:space="preserve"> de la Ley 489 de 1998, el artículo </w:t>
      </w:r>
      <w:r w:rsidR="00D60B34">
        <w:rPr>
          <w:rFonts w:ascii="Verdana" w:eastAsia="Verdana" w:hAnsi="Verdana" w:cs="Verdana"/>
          <w:highlight w:val="white"/>
        </w:rPr>
        <w:t>27</w:t>
      </w:r>
      <w:r>
        <w:rPr>
          <w:rFonts w:ascii="Verdana" w:eastAsia="Verdana" w:hAnsi="Verdana" w:cs="Verdana"/>
          <w:highlight w:val="white"/>
        </w:rPr>
        <w:t xml:space="preserve"> del Decreto 1138 de 1999 y el Decreto </w:t>
      </w:r>
      <w:r w:rsidR="00D60B34">
        <w:rPr>
          <w:rFonts w:ascii="Verdana" w:eastAsia="Verdana" w:hAnsi="Verdana" w:cs="Verdana"/>
          <w:highlight w:val="white"/>
        </w:rPr>
        <w:t>117</w:t>
      </w:r>
      <w:r>
        <w:rPr>
          <w:rFonts w:ascii="Verdana" w:eastAsia="Verdana" w:hAnsi="Verdana" w:cs="Verdana"/>
          <w:highlight w:val="white"/>
        </w:rPr>
        <w:t xml:space="preserve"> de 2010, y</w:t>
      </w:r>
    </w:p>
    <w:p w14:paraId="00000010" w14:textId="77777777" w:rsidR="00D60B34" w:rsidRDefault="00000000">
      <w:pPr>
        <w:spacing w:after="280" w:line="426" w:lineRule="auto"/>
        <w:jc w:val="center"/>
        <w:rPr>
          <w:rFonts w:ascii="Verdana" w:eastAsia="Verdana" w:hAnsi="Verdana" w:cs="Verdana"/>
          <w:b/>
          <w:bCs/>
          <w:highlight w:val="white"/>
        </w:rPr>
      </w:pPr>
      <w:r>
        <w:rPr>
          <w:rFonts w:ascii="Verdana" w:eastAsia="Verdana" w:hAnsi="Verdana" w:cs="Verdana"/>
          <w:b/>
          <w:bCs/>
          <w:highlight w:val="white"/>
        </w:rPr>
        <w:t>CONSIDERANDO:</w:t>
      </w:r>
    </w:p>
    <w:p w14:paraId="00000011" w14:textId="0A13E565" w:rsidR="00D60B34" w:rsidRDefault="00000000">
      <w:pPr>
        <w:spacing w:after="280" w:line="426" w:lineRule="auto"/>
        <w:jc w:val="both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highlight w:val="white"/>
        </w:rPr>
        <w:t xml:space="preserve">Que el artículo </w:t>
      </w:r>
      <w:r w:rsidR="00D60B34">
        <w:rPr>
          <w:rFonts w:ascii="Verdana" w:eastAsia="Verdana" w:hAnsi="Verdana" w:cs="Verdana"/>
          <w:highlight w:val="white"/>
        </w:rPr>
        <w:t>209</w:t>
      </w:r>
      <w:r>
        <w:rPr>
          <w:rFonts w:ascii="Verdana" w:eastAsia="Verdana" w:hAnsi="Verdana" w:cs="Verdana"/>
          <w:highlight w:val="white"/>
        </w:rPr>
        <w:t xml:space="preserve"> de la Constitución Política ordena que la función administrativa está al servicio de los intereses generales y se desarrolla con fundamento en los principios de igualdad, moralidad, eficacia, economía, celeridad, imparcialidad y publicidad, mediante la descentralización, delegación y desconcentración de funciones;</w:t>
      </w:r>
    </w:p>
    <w:p w14:paraId="00000012" w14:textId="43F241F5" w:rsidR="00D60B34" w:rsidRDefault="00000000">
      <w:pPr>
        <w:spacing w:after="280" w:line="426" w:lineRule="auto"/>
        <w:jc w:val="both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highlight w:val="white"/>
        </w:rPr>
        <w:t xml:space="preserve">Que para el mejoramiento de los proyectos de tecnología y sistemas que se adelantan en la Dirección General del Instituto, mediante la Resolución número </w:t>
      </w:r>
      <w:r w:rsidR="00D60B34">
        <w:rPr>
          <w:rFonts w:ascii="Verdana" w:eastAsia="Verdana" w:hAnsi="Verdana" w:cs="Verdana"/>
          <w:highlight w:val="white"/>
        </w:rPr>
        <w:t>222</w:t>
      </w:r>
      <w:r>
        <w:rPr>
          <w:rFonts w:ascii="Verdana" w:eastAsia="Verdana" w:hAnsi="Verdana" w:cs="Verdana"/>
          <w:highlight w:val="white"/>
        </w:rPr>
        <w:t xml:space="preserve"> de 27 de enero de 2009 se creó el Comité de Sistemas en la Dirección General del Instituto Colombiano de Bienestar Familiar Cecilia De la Fuente de Lleras;</w:t>
      </w:r>
    </w:p>
    <w:p w14:paraId="00000013" w14:textId="2DA99FE9" w:rsidR="00D60B34" w:rsidRDefault="00000000">
      <w:pPr>
        <w:spacing w:after="280" w:line="426" w:lineRule="auto"/>
        <w:jc w:val="both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highlight w:val="white"/>
        </w:rPr>
        <w:t xml:space="preserve">Que el Decreto </w:t>
      </w:r>
      <w:r w:rsidR="00D60B34">
        <w:rPr>
          <w:rFonts w:ascii="Verdana" w:eastAsia="Verdana" w:hAnsi="Verdana" w:cs="Verdana"/>
          <w:highlight w:val="white"/>
        </w:rPr>
        <w:t>117</w:t>
      </w:r>
      <w:r>
        <w:rPr>
          <w:rFonts w:ascii="Verdana" w:eastAsia="Verdana" w:hAnsi="Verdana" w:cs="Verdana"/>
          <w:highlight w:val="white"/>
        </w:rPr>
        <w:t xml:space="preserve"> de enero 21 de 2010, “por el cual se aprueba la estructura del Instituto Colombiano de Bienestar Familiar Cecilia de la Fuente de Lleras y se </w:t>
      </w:r>
      <w:r>
        <w:rPr>
          <w:rFonts w:ascii="Verdana" w:eastAsia="Verdana" w:hAnsi="Verdana" w:cs="Verdana"/>
          <w:highlight w:val="white"/>
        </w:rPr>
        <w:lastRenderedPageBreak/>
        <w:t xml:space="preserve">determinan las funciones de sus dependencias”, modificó la denominación de algunas de las dependencias que a su vez conforman el Comité de Sistemas en la Dirección General, y en su artículo </w:t>
      </w:r>
      <w:r w:rsidR="00D60B34">
        <w:rPr>
          <w:rFonts w:ascii="Verdana" w:eastAsia="Verdana" w:hAnsi="Verdana" w:cs="Verdana"/>
          <w:highlight w:val="white"/>
        </w:rPr>
        <w:t>17</w:t>
      </w:r>
      <w:r>
        <w:rPr>
          <w:rFonts w:ascii="Verdana" w:eastAsia="Verdana" w:hAnsi="Verdana" w:cs="Verdana"/>
          <w:highlight w:val="white"/>
        </w:rPr>
        <w:t>, numeral 3, estableció como función de la Dirección de Información y Tecnología la de asesorar a la Dirección General en la definición de políticas, estrategias y lineamientos para el manejo de la información y desarrollo de los sistemas tecnológicos;</w:t>
      </w:r>
    </w:p>
    <w:p w14:paraId="00000014" w14:textId="77777777" w:rsidR="00D60B34" w:rsidRDefault="00000000">
      <w:pPr>
        <w:spacing w:after="280" w:line="426" w:lineRule="auto"/>
        <w:jc w:val="both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highlight w:val="white"/>
        </w:rPr>
        <w:t>Que en mérito de lo expuesto,</w:t>
      </w:r>
    </w:p>
    <w:p w14:paraId="00000015" w14:textId="77777777" w:rsidR="00D60B34" w:rsidRDefault="00000000">
      <w:pPr>
        <w:spacing w:after="280" w:line="426" w:lineRule="auto"/>
        <w:jc w:val="center"/>
        <w:rPr>
          <w:rFonts w:ascii="Verdana" w:eastAsia="Verdana" w:hAnsi="Verdana" w:cs="Verdana"/>
          <w:b/>
          <w:bCs/>
          <w:highlight w:val="white"/>
        </w:rPr>
      </w:pPr>
      <w:r>
        <w:rPr>
          <w:rFonts w:ascii="Verdana" w:eastAsia="Verdana" w:hAnsi="Verdana" w:cs="Verdana"/>
          <w:b/>
          <w:bCs/>
          <w:highlight w:val="white"/>
        </w:rPr>
        <w:t>RESUELVE:</w:t>
      </w:r>
    </w:p>
    <w:p w14:paraId="00000016" w14:textId="095B48A4" w:rsidR="00D60B34" w:rsidRDefault="00000000">
      <w:pPr>
        <w:spacing w:after="280" w:line="426" w:lineRule="auto"/>
        <w:jc w:val="both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b/>
          <w:bCs/>
          <w:highlight w:val="white"/>
        </w:rPr>
        <w:t xml:space="preserve">ARTÍCULO 1o. OBJETO. </w:t>
      </w:r>
      <w:r>
        <w:rPr>
          <w:rFonts w:ascii="Verdana" w:eastAsia="Verdana" w:hAnsi="Verdana" w:cs="Verdana"/>
          <w:highlight w:val="white"/>
        </w:rPr>
        <w:t xml:space="preserve">En el Instituto Colombiano de Bienestar Familiar – Cecilia de la Fuente de Lleras (ICBF) continuará operando el Comité de Sistemas en la Dirección General, creado mediante la Resolución número </w:t>
      </w:r>
      <w:r w:rsidR="00D60B34">
        <w:rPr>
          <w:rFonts w:ascii="Verdana" w:eastAsia="Verdana" w:hAnsi="Verdana" w:cs="Verdana"/>
          <w:highlight w:val="white"/>
        </w:rPr>
        <w:t>222</w:t>
      </w:r>
      <w:r>
        <w:rPr>
          <w:rFonts w:ascii="Verdana" w:eastAsia="Verdana" w:hAnsi="Verdana" w:cs="Verdana"/>
          <w:highlight w:val="white"/>
        </w:rPr>
        <w:t xml:space="preserve"> del 27 de enero de 2009, con el objeto de formular los planes y el seguimiento del desarrollo y ejecución de los proyectos de tecnología y sistemas.</w:t>
      </w:r>
    </w:p>
    <w:p w14:paraId="00000017" w14:textId="5CD91926" w:rsidR="00D60B34" w:rsidRDefault="00000000">
      <w:pPr>
        <w:spacing w:after="280" w:line="426" w:lineRule="auto"/>
        <w:jc w:val="both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b/>
          <w:bCs/>
          <w:highlight w:val="white"/>
        </w:rPr>
        <w:t>ARTÍCULO 2o. INTEGRACIÓN.</w:t>
      </w:r>
      <w:r>
        <w:rPr>
          <w:rFonts w:ascii="Verdana" w:eastAsia="Verdana" w:hAnsi="Verdana" w:cs="Verdana"/>
          <w:highlight w:val="white"/>
        </w:rPr>
        <w:t xml:space="preserve"> El Comité de Sistemas en la Dirección General estará integrado por:</w:t>
      </w:r>
    </w:p>
    <w:p w14:paraId="00000018" w14:textId="77777777" w:rsidR="00D60B34" w:rsidRDefault="00000000">
      <w:pPr>
        <w:spacing w:after="280" w:line="426" w:lineRule="auto"/>
        <w:jc w:val="both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highlight w:val="white"/>
        </w:rPr>
        <w:t>a) El Secretario General, quien lo presidirá.</w:t>
      </w:r>
    </w:p>
    <w:p w14:paraId="00000019" w14:textId="77777777" w:rsidR="00D60B34" w:rsidRDefault="00000000">
      <w:pPr>
        <w:spacing w:after="280" w:line="426" w:lineRule="auto"/>
        <w:jc w:val="both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highlight w:val="white"/>
        </w:rPr>
        <w:t>b) El Director de Planeación y Control de Gestión.</w:t>
      </w:r>
    </w:p>
    <w:p w14:paraId="0000001A" w14:textId="77777777" w:rsidR="00D60B34" w:rsidRDefault="00000000">
      <w:pPr>
        <w:spacing w:after="280" w:line="426" w:lineRule="auto"/>
        <w:jc w:val="both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highlight w:val="white"/>
        </w:rPr>
        <w:t>c) El Director de Información y Tecnología.</w:t>
      </w:r>
    </w:p>
    <w:p w14:paraId="0000001B" w14:textId="77777777" w:rsidR="00D60B34" w:rsidRDefault="00000000">
      <w:pPr>
        <w:spacing w:after="280" w:line="426" w:lineRule="auto"/>
        <w:jc w:val="both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b/>
          <w:bCs/>
          <w:highlight w:val="white"/>
        </w:rPr>
        <w:t>PARÁGRAFO 1o.</w:t>
      </w:r>
      <w:r>
        <w:rPr>
          <w:rFonts w:ascii="Verdana" w:eastAsia="Verdana" w:hAnsi="Verdana" w:cs="Verdana"/>
          <w:highlight w:val="white"/>
        </w:rPr>
        <w:t xml:space="preserve"> El Comité de Sistemas en la Dirección General del ICBF se reunirá por lo menos una (1) vez al mes, previa convocatoria de cualquiera de sus miembros.</w:t>
      </w:r>
    </w:p>
    <w:p w14:paraId="0000001C" w14:textId="77777777" w:rsidR="00D60B34" w:rsidRDefault="00000000">
      <w:pPr>
        <w:spacing w:after="280" w:line="426" w:lineRule="auto"/>
        <w:jc w:val="both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b/>
          <w:bCs/>
          <w:highlight w:val="white"/>
        </w:rPr>
        <w:t>PARÁGRAFO 2o.</w:t>
      </w:r>
      <w:r>
        <w:rPr>
          <w:rFonts w:ascii="Verdana" w:eastAsia="Verdana" w:hAnsi="Verdana" w:cs="Verdana"/>
          <w:highlight w:val="white"/>
        </w:rPr>
        <w:t xml:space="preserve"> La Secretaría Técnica del Comité de Sistemas estará a cargo del Director de Información y Tecnología.</w:t>
      </w:r>
    </w:p>
    <w:p w14:paraId="0000001D" w14:textId="0FA6B075" w:rsidR="00D60B34" w:rsidRDefault="00000000">
      <w:pPr>
        <w:spacing w:after="280" w:line="426" w:lineRule="auto"/>
        <w:jc w:val="both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b/>
          <w:bCs/>
          <w:highlight w:val="white"/>
        </w:rPr>
        <w:lastRenderedPageBreak/>
        <w:t xml:space="preserve">ARTÍCULO 3o. </w:t>
      </w:r>
      <w:r>
        <w:rPr>
          <w:rFonts w:ascii="Verdana" w:eastAsia="Verdana" w:hAnsi="Verdana" w:cs="Verdana"/>
          <w:b/>
          <w:bCs/>
          <w:i/>
          <w:iCs/>
          <w:highlight w:val="white"/>
        </w:rPr>
        <w:t>DELIBERACIÓN Y DECISIÓN</w:t>
      </w:r>
      <w:r>
        <w:rPr>
          <w:rFonts w:ascii="Verdana" w:eastAsia="Verdana" w:hAnsi="Verdana" w:cs="Verdana"/>
          <w:b/>
          <w:bCs/>
          <w:highlight w:val="white"/>
        </w:rPr>
        <w:t xml:space="preserve">. </w:t>
      </w:r>
      <w:r>
        <w:rPr>
          <w:rFonts w:ascii="Verdana" w:eastAsia="Verdana" w:hAnsi="Verdana" w:cs="Verdana"/>
          <w:highlight w:val="white"/>
        </w:rPr>
        <w:t>Habrá quórum deliberatorio y decisorio con la participación de por lo menos dos (2) de los miembros del Comité.</w:t>
      </w:r>
    </w:p>
    <w:p w14:paraId="0000001E" w14:textId="77777777" w:rsidR="00D60B34" w:rsidRDefault="00000000">
      <w:pPr>
        <w:spacing w:after="280" w:line="426" w:lineRule="auto"/>
        <w:jc w:val="both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b/>
          <w:bCs/>
          <w:highlight w:val="white"/>
        </w:rPr>
        <w:t>PARÁGRAFO.</w:t>
      </w:r>
      <w:r>
        <w:rPr>
          <w:rFonts w:ascii="Verdana" w:eastAsia="Verdana" w:hAnsi="Verdana" w:cs="Verdana"/>
          <w:highlight w:val="white"/>
        </w:rPr>
        <w:t xml:space="preserve"> Las recomendaciones y conceptos del comité se adoptarán y expedirán por consenso entre los miembros que asistan a la respectiva sesión y serán suscritos por todos los miembros.</w:t>
      </w:r>
    </w:p>
    <w:p w14:paraId="0000001F" w14:textId="08CC3BCB" w:rsidR="00D60B34" w:rsidRDefault="00000000">
      <w:pPr>
        <w:spacing w:after="280" w:line="426" w:lineRule="auto"/>
        <w:jc w:val="both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b/>
          <w:bCs/>
          <w:highlight w:val="white"/>
        </w:rPr>
        <w:t xml:space="preserve">ARTÍCULO 4o. </w:t>
      </w:r>
      <w:r>
        <w:rPr>
          <w:rFonts w:ascii="Verdana" w:eastAsia="Verdana" w:hAnsi="Verdana" w:cs="Verdana"/>
          <w:b/>
          <w:bCs/>
          <w:i/>
          <w:iCs/>
          <w:highlight w:val="white"/>
        </w:rPr>
        <w:t>FUNCIONES DEL COMITÉ DE SISTEMAS</w:t>
      </w:r>
      <w:r>
        <w:rPr>
          <w:rFonts w:ascii="Verdana" w:eastAsia="Verdana" w:hAnsi="Verdana" w:cs="Verdana"/>
          <w:b/>
          <w:bCs/>
          <w:highlight w:val="white"/>
        </w:rPr>
        <w:t xml:space="preserve">. </w:t>
      </w:r>
      <w:r>
        <w:rPr>
          <w:rFonts w:ascii="Verdana" w:eastAsia="Verdana" w:hAnsi="Verdana" w:cs="Verdana"/>
          <w:highlight w:val="white"/>
        </w:rPr>
        <w:t>Son funciones del Comité de Sistemas en la Dirección General del ICBF:</w:t>
      </w:r>
    </w:p>
    <w:p w14:paraId="00000020" w14:textId="77777777" w:rsidR="00D60B34" w:rsidRDefault="00000000">
      <w:pPr>
        <w:spacing w:after="280" w:line="426" w:lineRule="auto"/>
        <w:jc w:val="both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highlight w:val="white"/>
        </w:rPr>
        <w:t>a) Formular las directrices para que los planes del ICBF en materia informática guarden correlación con los planes y lineamientos misionales de la entidad;</w:t>
      </w:r>
    </w:p>
    <w:p w14:paraId="00000021" w14:textId="77777777" w:rsidR="00D60B34" w:rsidRDefault="00000000">
      <w:pPr>
        <w:spacing w:after="280" w:line="426" w:lineRule="auto"/>
        <w:jc w:val="both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highlight w:val="white"/>
        </w:rPr>
        <w:t>b) Definir las prioridades de los proyectos de tecnología y sistemas de acuerdo con los recursos disponibles;</w:t>
      </w:r>
    </w:p>
    <w:p w14:paraId="00000022" w14:textId="77777777" w:rsidR="00D60B34" w:rsidRDefault="00000000">
      <w:pPr>
        <w:spacing w:after="280" w:line="426" w:lineRule="auto"/>
        <w:jc w:val="both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highlight w:val="white"/>
        </w:rPr>
        <w:t>c) Monitorear y hacer seguimiento permanente al desarrollo y ejecución de los proyectos de tecnología y sistemas en la Dirección General del ICBF y en los contratos por medio de los cuales se desarrollan;</w:t>
      </w:r>
    </w:p>
    <w:p w14:paraId="00000023" w14:textId="77777777" w:rsidR="00D60B34" w:rsidRDefault="00000000">
      <w:pPr>
        <w:spacing w:after="280" w:line="426" w:lineRule="auto"/>
        <w:jc w:val="both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highlight w:val="white"/>
        </w:rPr>
        <w:t>d) Determinar las responsabilidades de las diferentes áreas del Instituto respecto de los proyectos de inversión de tecnología y sistemas;</w:t>
      </w:r>
    </w:p>
    <w:p w14:paraId="00000024" w14:textId="77777777" w:rsidR="00D60B34" w:rsidRDefault="00000000">
      <w:pPr>
        <w:spacing w:after="280" w:line="426" w:lineRule="auto"/>
        <w:jc w:val="both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highlight w:val="white"/>
        </w:rPr>
        <w:t>e) Formular recomendaciones para la adecuada orientación y manejo de los proyectos de tecnología y sistemas del Instituto;</w:t>
      </w:r>
    </w:p>
    <w:p w14:paraId="00000025" w14:textId="77777777" w:rsidR="00D60B34" w:rsidRDefault="00000000">
      <w:pPr>
        <w:spacing w:after="280" w:line="426" w:lineRule="auto"/>
        <w:jc w:val="both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highlight w:val="white"/>
        </w:rPr>
        <w:t>f) Informar, por lo menos cada seis (6) meses a la Dirección General sobre las tareas que le fueron encomendadas;</w:t>
      </w:r>
    </w:p>
    <w:p w14:paraId="00000026" w14:textId="77777777" w:rsidR="00D60B34" w:rsidRDefault="00000000">
      <w:pPr>
        <w:spacing w:after="280" w:line="426" w:lineRule="auto"/>
        <w:jc w:val="both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highlight w:val="white"/>
        </w:rPr>
        <w:t>g) Las demás que le sean asignadas por la Dirección General del Instituto, de acuerdo con su naturaleza.</w:t>
      </w:r>
    </w:p>
    <w:p w14:paraId="00000027" w14:textId="3968C90D" w:rsidR="00D60B34" w:rsidRDefault="00000000">
      <w:pPr>
        <w:spacing w:after="280" w:line="426" w:lineRule="auto"/>
        <w:jc w:val="both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b/>
          <w:bCs/>
          <w:highlight w:val="white"/>
        </w:rPr>
        <w:lastRenderedPageBreak/>
        <w:t xml:space="preserve">ARTÍCULO 5o. </w:t>
      </w:r>
      <w:r>
        <w:rPr>
          <w:rFonts w:ascii="Verdana" w:eastAsia="Verdana" w:hAnsi="Verdana" w:cs="Verdana"/>
          <w:b/>
          <w:bCs/>
          <w:i/>
          <w:iCs/>
          <w:highlight w:val="white"/>
        </w:rPr>
        <w:t>VIGENCIA Y DEROGACIONES</w:t>
      </w:r>
      <w:r>
        <w:rPr>
          <w:rFonts w:ascii="Verdana" w:eastAsia="Verdana" w:hAnsi="Verdana" w:cs="Verdana"/>
          <w:b/>
          <w:bCs/>
          <w:highlight w:val="white"/>
        </w:rPr>
        <w:t>.</w:t>
      </w:r>
      <w:r w:rsidRPr="00854A63">
        <w:rPr>
          <w:rFonts w:ascii="Verdana" w:eastAsia="Verdana" w:hAnsi="Verdana" w:cs="Verdana"/>
          <w:highlight w:val="white"/>
        </w:rPr>
        <w:t xml:space="preserve"> </w:t>
      </w:r>
      <w:r w:rsidR="00854A63">
        <w:rPr>
          <w:rFonts w:ascii="Verdana" w:eastAsia="Verdana" w:hAnsi="Verdana" w:cs="Verdana"/>
          <w:highlight w:val="white"/>
        </w:rPr>
        <w:t>[</w:t>
      </w:r>
      <w:r w:rsidRPr="00854A63">
        <w:rPr>
          <w:rFonts w:ascii="Verdana" w:eastAsia="Verdana" w:hAnsi="Verdana" w:cs="Verdana"/>
          <w:highlight w:val="white"/>
        </w:rPr>
        <w:t xml:space="preserve">Resolución derogada por el artículo </w:t>
      </w:r>
      <w:r w:rsidR="00D60B34" w:rsidRPr="00854A63">
        <w:rPr>
          <w:rFonts w:ascii="Verdana" w:eastAsia="Verdana" w:hAnsi="Verdana" w:cs="Verdana"/>
          <w:highlight w:val="white"/>
        </w:rPr>
        <w:t>2</w:t>
      </w:r>
      <w:r w:rsidRPr="00854A63">
        <w:rPr>
          <w:rFonts w:ascii="Verdana" w:eastAsia="Verdana" w:hAnsi="Verdana" w:cs="Verdana"/>
          <w:highlight w:val="white"/>
        </w:rPr>
        <w:t xml:space="preserve"> de la Resolución 3559 de 2013</w:t>
      </w:r>
      <w:r w:rsidR="00854A63">
        <w:rPr>
          <w:rFonts w:ascii="Verdana" w:eastAsia="Verdana" w:hAnsi="Verdana" w:cs="Verdana"/>
          <w:highlight w:val="white"/>
        </w:rPr>
        <w:t>]</w:t>
      </w:r>
      <w:r w:rsidRPr="00854A63">
        <w:rPr>
          <w:rFonts w:ascii="Verdana" w:eastAsia="Verdana" w:hAnsi="Verdana" w:cs="Verdana"/>
          <w:highlight w:val="white"/>
        </w:rPr>
        <w:t xml:space="preserve"> </w:t>
      </w:r>
      <w:r>
        <w:rPr>
          <w:rFonts w:ascii="Verdana" w:eastAsia="Verdana" w:hAnsi="Verdana" w:cs="Verdana"/>
          <w:highlight w:val="white"/>
        </w:rPr>
        <w:t xml:space="preserve">La presente resolución rige a partir de la fecha de su publicación y deroga la Resolución número </w:t>
      </w:r>
      <w:r w:rsidR="00D60B34">
        <w:rPr>
          <w:rFonts w:ascii="Verdana" w:eastAsia="Verdana" w:hAnsi="Verdana" w:cs="Verdana"/>
          <w:highlight w:val="white"/>
        </w:rPr>
        <w:t>222</w:t>
      </w:r>
      <w:r>
        <w:rPr>
          <w:rFonts w:ascii="Verdana" w:eastAsia="Verdana" w:hAnsi="Verdana" w:cs="Verdana"/>
          <w:highlight w:val="white"/>
        </w:rPr>
        <w:t xml:space="preserve"> del 27 de enero de 2009.</w:t>
      </w:r>
    </w:p>
    <w:p w14:paraId="00000028" w14:textId="77777777" w:rsidR="00D60B34" w:rsidRDefault="00000000">
      <w:pPr>
        <w:spacing w:after="280" w:line="426" w:lineRule="auto"/>
        <w:jc w:val="center"/>
        <w:rPr>
          <w:rFonts w:ascii="Verdana" w:eastAsia="Verdana" w:hAnsi="Verdana" w:cs="Verdana"/>
          <w:b/>
          <w:bCs/>
          <w:highlight w:val="white"/>
        </w:rPr>
      </w:pPr>
      <w:r>
        <w:rPr>
          <w:rFonts w:ascii="Verdana" w:eastAsia="Verdana" w:hAnsi="Verdana" w:cs="Verdana"/>
          <w:b/>
          <w:bCs/>
          <w:highlight w:val="white"/>
        </w:rPr>
        <w:t>PUBLÍQUESE, COMUNÍQUESE Y CÚMPLASE</w:t>
      </w:r>
    </w:p>
    <w:p w14:paraId="00000029" w14:textId="77777777" w:rsidR="00D60B34" w:rsidRDefault="00000000">
      <w:pPr>
        <w:spacing w:after="280" w:line="426" w:lineRule="auto"/>
        <w:jc w:val="center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highlight w:val="white"/>
        </w:rPr>
        <w:t>Dada en Bogotá, D. C., a los 25 días de marzo de 2010.</w:t>
      </w:r>
    </w:p>
    <w:p w14:paraId="0000002A" w14:textId="77777777" w:rsidR="00D60B34" w:rsidRDefault="00000000">
      <w:pPr>
        <w:spacing w:after="280" w:line="426" w:lineRule="auto"/>
        <w:jc w:val="center"/>
        <w:rPr>
          <w:rFonts w:ascii="Verdana" w:eastAsia="Verdana" w:hAnsi="Verdana" w:cs="Verdana"/>
          <w:b/>
          <w:bCs/>
          <w:highlight w:val="white"/>
        </w:rPr>
      </w:pPr>
      <w:r>
        <w:rPr>
          <w:rFonts w:ascii="Verdana" w:eastAsia="Verdana" w:hAnsi="Verdana" w:cs="Verdana"/>
          <w:b/>
          <w:bCs/>
          <w:highlight w:val="white"/>
        </w:rPr>
        <w:t>ELVIRA FORERO HERNÁNDEZ</w:t>
      </w:r>
    </w:p>
    <w:p w14:paraId="0000002B" w14:textId="77777777" w:rsidR="00D60B34" w:rsidRDefault="00000000">
      <w:pPr>
        <w:spacing w:after="280" w:line="426" w:lineRule="auto"/>
        <w:jc w:val="center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highlight w:val="white"/>
        </w:rPr>
        <w:t>LA DIRECTORA GENERAL</w:t>
      </w:r>
    </w:p>
    <w:p w14:paraId="0000002C" w14:textId="77777777" w:rsidR="00D60B34" w:rsidRDefault="00D60B34">
      <w:pPr>
        <w:rPr>
          <w:rFonts w:ascii="Verdana" w:eastAsia="Verdana" w:hAnsi="Verdana" w:cs="Verdana"/>
          <w:highlight w:val="white"/>
        </w:rPr>
      </w:pPr>
    </w:p>
    <w:sectPr w:rsidR="00D60B3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ED73FFD0-9483-4DCB-A5C2-314694246E51}"/>
    <w:embedBold r:id="rId2" w:fontKey="{1A6BFC4C-4B73-4CC0-B5B1-E19008DE1ADC}"/>
    <w:embedBoldItalic r:id="rId3" w:fontKey="{76DE74C3-B318-4CAC-A35E-A6E51325BB3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D87B4BA-B13B-4951-95E2-2ADDB0B225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6B9557F-9821-4447-B83C-5C85D94E4B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B34"/>
    <w:rsid w:val="00096CCC"/>
    <w:rsid w:val="00603AE2"/>
    <w:rsid w:val="00795E22"/>
    <w:rsid w:val="00854A63"/>
    <w:rsid w:val="00D60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93F1B"/>
  <w15:docId w15:val="{4DEACC74-F80B-4B92-9E6F-D8907C33F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6849F6A-6928-493F-8BE5-8DFA36D0B683}"/>
</file>

<file path=customXml/itemProps2.xml><?xml version="1.0" encoding="utf-8"?>
<ds:datastoreItem xmlns:ds="http://schemas.openxmlformats.org/officeDocument/2006/customXml" ds:itemID="{A91470F0-82A4-46A7-9291-BE6B0EDAFBDD}"/>
</file>

<file path=customXml/itemProps3.xml><?xml version="1.0" encoding="utf-8"?>
<ds:datastoreItem xmlns:ds="http://schemas.openxmlformats.org/officeDocument/2006/customXml" ds:itemID="{2CD49EEC-3AF6-4D7F-A0DA-336E2A9B99A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736</Words>
  <Characters>4054</Characters>
  <Application>Microsoft Office Word</Application>
  <DocSecurity>0</DocSecurity>
  <Lines>33</Lines>
  <Paragraphs>9</Paragraphs>
  <ScaleCrop>false</ScaleCrop>
  <Company/>
  <LinksUpToDate>false</LinksUpToDate>
  <CharactersWithSpaces>4781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Eduardo Lozano Bocanegra</dc:creator>
  <cp:lastModifiedBy>Daniel Eduardo Lozano Bocanegra</cp:lastModifiedBy>
  <cp:revision>4</cp:revision>
  <dcterms:created xsi:type="dcterms:W3CDTF">2026-01-28T15:46:00Z</dcterms:created>
  <dcterms:modified xsi:type="dcterms:W3CDTF">2026-04-15T15:53:00Z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