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13366 DE 2016</w:t>
      </w:r>
    </w:p>
    <w:p w14:paraId="00000002" w14:textId="77777777" w:rsidR="00DE09C9" w:rsidRDefault="00A301E5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diciembre de 2016</w:t>
      </w:r>
    </w:p>
    <w:p w14:paraId="00000003" w14:textId="77777777" w:rsidR="00DE09C9" w:rsidRDefault="00A301E5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27 de diciembre de 2016</w:t>
      </w:r>
    </w:p>
    <w:p w14:paraId="00000004" w14:textId="5C09A605" w:rsidR="00DE09C9" w:rsidRDefault="00A301E5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 w:rsidR="002E61FC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DE09C9">
        <w:rPr>
          <w:rFonts w:ascii="Verdana" w:eastAsia="Verdana" w:hAnsi="Verdana" w:cs="Verdana"/>
          <w:highlight w:val="white"/>
        </w:rPr>
        <w:t>6</w:t>
      </w:r>
      <w:r>
        <w:rPr>
          <w:rFonts w:ascii="Verdana" w:eastAsia="Verdana" w:hAnsi="Verdana" w:cs="Verdana"/>
          <w:highlight w:val="white"/>
        </w:rPr>
        <w:t xml:space="preserve"> de la Resolución 4200 de 2021. </w:t>
      </w:r>
    </w:p>
    <w:p w14:paraId="00000005" w14:textId="77777777" w:rsidR="00DE09C9" w:rsidRDefault="00DE09C9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DE09C9" w:rsidRDefault="00A301E5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27 de diciembre de 2016</w:t>
      </w:r>
    </w:p>
    <w:p w14:paraId="00000007" w14:textId="77777777" w:rsidR="00DE09C9" w:rsidRDefault="00A301E5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No. 50.099</w:t>
      </w:r>
    </w:p>
    <w:p w14:paraId="00000008" w14:textId="77777777" w:rsidR="00DE09C9" w:rsidRDefault="00DE09C9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13366 DE 2016</w:t>
      </w:r>
    </w:p>
    <w:p w14:paraId="0000000A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23)</w:t>
      </w:r>
    </w:p>
    <w:p w14:paraId="0000000B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aprueba la modificación del Lineamiento Técnico de Modalidades para la Atención de Niños, Niñas y Adolescentes, con Derechos Inobservados, Amenazados o Vulnerados.</w:t>
      </w:r>
    </w:p>
    <w:p w14:paraId="0000000D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E" w14:textId="58B34039" w:rsidR="00DE09C9" w:rsidRDefault="00A301E5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 establecidas en el literal b) del artículo </w:t>
      </w:r>
      <w:r w:rsidR="00DE09C9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7ª de 1979, el artículo </w:t>
      </w:r>
      <w:r w:rsidR="00DE09C9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y</w:t>
      </w:r>
    </w:p>
    <w:p w14:paraId="0000000F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7AEF277D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DE09C9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tiene como objeto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adolescentes, para garantizar el </w:t>
      </w:r>
      <w:r>
        <w:rPr>
          <w:rFonts w:ascii="Verdana" w:eastAsia="Verdana" w:hAnsi="Verdana" w:cs="Verdana"/>
          <w:i/>
          <w:iCs/>
        </w:rPr>
        <w:lastRenderedPageBreak/>
        <w:t xml:space="preserve">ejercicio de sus derechos y libertades consagrados en los instrumentos internacionales de Derechos Humanos, en la Constitución Política y en las leyes, así como su restablecimiento (…)” </w:t>
      </w:r>
      <w:r>
        <w:rPr>
          <w:rFonts w:ascii="Verdana" w:eastAsia="Verdana" w:hAnsi="Verdana" w:cs="Verdana"/>
        </w:rPr>
        <w:t xml:space="preserve">y su finalidad es la de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</w:t>
      </w:r>
      <w:r>
        <w:rPr>
          <w:rFonts w:ascii="Verdana" w:eastAsia="Verdana" w:hAnsi="Verdana" w:cs="Verdana"/>
          <w:i/>
          <w:iCs/>
        </w:rPr>
        <w:t xml:space="preserve"> comunidad, en un ambiente de felicidad, amor y comprensión (…)</w:t>
      </w:r>
      <w:r>
        <w:rPr>
          <w:rFonts w:ascii="Verdana" w:eastAsia="Verdana" w:hAnsi="Verdana" w:cs="Verdana"/>
        </w:rPr>
        <w:t>”.</w:t>
      </w:r>
    </w:p>
    <w:p w14:paraId="00000011" w14:textId="1D4DF402" w:rsidR="00DE09C9" w:rsidRDefault="00A301E5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DE09C9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mencionada ley señala: </w:t>
      </w:r>
      <w:r>
        <w:rPr>
          <w:rFonts w:ascii="Verdana" w:eastAsia="Verdana" w:hAnsi="Verdana" w:cs="Verdana"/>
          <w:i/>
          <w:iCs/>
        </w:rPr>
        <w:t xml:space="preserve">“El Instituto Colombiano de Bienestar Familiar, como ente coordinador del Sistema Nacional de Bienestar Familiar, mantendrá todas las funciones que hoy tiene (Ley </w:t>
      </w:r>
      <w:r w:rsidR="00DE09C9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 de 1968 y Ley </w:t>
      </w:r>
      <w:r w:rsidR="00DE09C9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 de 1979) y definirá los lineamientos técnicos que las entidades deben cumplir para garantizar los derechos de los niños, las niñas y los adolescentes, y para asegurar su restablecimiento” (…).</w:t>
      </w:r>
    </w:p>
    <w:p w14:paraId="00000012" w14:textId="765D9010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artículos </w:t>
      </w:r>
      <w:r w:rsidR="00DE09C9">
        <w:rPr>
          <w:rFonts w:ascii="Verdana" w:eastAsia="Verdana" w:hAnsi="Verdana" w:cs="Verdana"/>
        </w:rPr>
        <w:t>38</w:t>
      </w:r>
      <w:r>
        <w:rPr>
          <w:rFonts w:ascii="Verdana" w:eastAsia="Verdana" w:hAnsi="Verdana" w:cs="Verdana"/>
        </w:rPr>
        <w:t xml:space="preserve"> y </w:t>
      </w:r>
      <w:r w:rsidR="00DE09C9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987 de 2012 establecen las funciones de la Dirección de Protección y de la Subdirección de Restablecimiento de Derechos, entre las que se encuentran la Definición de los lineamientos generales y específicos en materia de protección que deben ser tenidos en cuenta en los Centros Zonales del ICBF, en las Regionales y en la Sede de la Dirección General.</w:t>
      </w:r>
    </w:p>
    <w:p w14:paraId="00000013" w14:textId="080FE997" w:rsidR="00DE09C9" w:rsidRDefault="00A301E5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en cumplimiento de lo anterior, el Instituto Colombiano de Bienestar Familiar aprobó mediante Resolución número </w:t>
      </w:r>
      <w:r w:rsidR="00DE09C9">
        <w:rPr>
          <w:rFonts w:ascii="Verdana" w:eastAsia="Verdana" w:hAnsi="Verdana" w:cs="Verdana"/>
        </w:rPr>
        <w:t>1520</w:t>
      </w:r>
      <w:r>
        <w:rPr>
          <w:rFonts w:ascii="Verdana" w:eastAsia="Verdana" w:hAnsi="Verdana" w:cs="Verdana"/>
        </w:rPr>
        <w:t xml:space="preserve"> del 23 de febrero de 2016, el </w:t>
      </w:r>
      <w:r>
        <w:rPr>
          <w:rFonts w:ascii="Verdana" w:eastAsia="Verdana" w:hAnsi="Verdana" w:cs="Verdana"/>
          <w:i/>
          <w:iCs/>
        </w:rPr>
        <w:t>“Lineamiento Técnico de modalidades para la Atención de Niños, Niñas y Adolescentes, con Derechos Inobservados, Amenazados o Vulnerados”.</w:t>
      </w:r>
    </w:p>
    <w:p w14:paraId="00000014" w14:textId="7E498A91" w:rsidR="00DE09C9" w:rsidRDefault="00A301E5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DE09C9">
        <w:rPr>
          <w:rFonts w:ascii="Verdana" w:eastAsia="Verdana" w:hAnsi="Verdana" w:cs="Verdana"/>
        </w:rPr>
        <w:t>5863</w:t>
      </w:r>
      <w:r>
        <w:rPr>
          <w:rFonts w:ascii="Verdana" w:eastAsia="Verdana" w:hAnsi="Verdana" w:cs="Verdana"/>
        </w:rPr>
        <w:t xml:space="preserve"> del 22 de junio de 2016, se aprobó la modificación del </w:t>
      </w:r>
      <w:r>
        <w:rPr>
          <w:rFonts w:ascii="Verdana" w:eastAsia="Verdana" w:hAnsi="Verdana" w:cs="Verdana"/>
          <w:i/>
          <w:iCs/>
        </w:rPr>
        <w:t>“Lineamiento Técnico de Modalidades para la Atención de Niños, Niñas y Adolescentes, con Derechos Inobservados, Amenazados o Vulnerados”.</w:t>
      </w:r>
    </w:p>
    <w:p w14:paraId="00000015" w14:textId="234D7E37" w:rsidR="00DE09C9" w:rsidRDefault="00A301E5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DE09C9">
        <w:rPr>
          <w:rFonts w:ascii="Verdana" w:eastAsia="Verdana" w:hAnsi="Verdana" w:cs="Verdana"/>
        </w:rPr>
        <w:t>7960</w:t>
      </w:r>
      <w:r>
        <w:rPr>
          <w:rFonts w:ascii="Verdana" w:eastAsia="Verdana" w:hAnsi="Verdana" w:cs="Verdana"/>
        </w:rPr>
        <w:t xml:space="preserve"> del 10 de agosto de 2016, se aprobó la modificación del </w:t>
      </w:r>
      <w:r>
        <w:rPr>
          <w:rFonts w:ascii="Verdana" w:eastAsia="Verdana" w:hAnsi="Verdana" w:cs="Verdana"/>
          <w:i/>
          <w:iCs/>
        </w:rPr>
        <w:t>“Lineamiento Técnico de Modalidades para la Atención de Niños, Niñas y Adolescentes, con Derechos Inobservados, Amenazados o Vulnerados”.</w:t>
      </w:r>
    </w:p>
    <w:p w14:paraId="00000016" w14:textId="77777777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realizar modificaciones al Lineamiento Técnico de Modalidades para la Atención de Niños, Niñas y Adolescentes, con Derechos Inobservados, Amenazados o Vulnerados.</w:t>
      </w:r>
    </w:p>
    <w:p w14:paraId="00000017" w14:textId="77777777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8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9" w14:textId="2FB63C9C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 </w:t>
      </w:r>
      <w:r w:rsidR="002E61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Rige a partir del 16 de agosto de 2021</w:t>
      </w:r>
      <w:r w:rsidR="002E61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las modificacione</w:t>
      </w:r>
      <w:r>
        <w:rPr>
          <w:rFonts w:ascii="Verdana" w:eastAsia="Verdana" w:hAnsi="Verdana" w:cs="Verdana"/>
        </w:rPr>
        <w:lastRenderedPageBreak/>
        <w:t>s realizadas al Lineamiento Técnico de Modalidades para la Atención de Niños, Niñas y Adolescentes, con Derechos Inobservados, Amenazados o Vulnerados, las cuales se encuentran contenidas en dicho lineamiento.</w:t>
      </w:r>
    </w:p>
    <w:p w14:paraId="0000001A" w14:textId="1B946948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r w:rsidR="002E61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Rige a partir del 16 de agosto de 2021</w:t>
      </w:r>
      <w:r w:rsidR="002E61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Las modificaciones aprobadas por el artículo primero de la presente resolución, son de obligatorio cumplimiento para las áreas, servidores públicos y entidades que prestan el Servicio Público de Bienestar Familiar.</w:t>
      </w:r>
    </w:p>
    <w:p w14:paraId="0000001B" w14:textId="03014797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2E61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Rige a partir del 16 de agosto de 2021</w:t>
      </w:r>
      <w:r w:rsidR="002E61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Coordinadores de Centros Zonales, serán responsables de la aplicación del Lineamiento Técnico aquí aprobado.</w:t>
      </w:r>
    </w:p>
    <w:p w14:paraId="0000001C" w14:textId="28F5FBEB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[Resolución derogada por el artículo </w:t>
      </w:r>
      <w:r w:rsidR="00DE09C9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4200 de 2021] </w:t>
      </w:r>
      <w:r w:rsidR="002E61FC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Rige a partir del 16 de agosto de 2021</w:t>
      </w:r>
      <w:r w:rsidR="002E61FC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administrativo.</w:t>
      </w:r>
    </w:p>
    <w:p w14:paraId="0000001D" w14:textId="77777777" w:rsidR="00DE09C9" w:rsidRDefault="00A301E5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</w:t>
      </w:r>
      <w:r w:rsidRPr="002E61FC">
        <w:rPr>
          <w:rFonts w:ascii="Verdana" w:eastAsia="Verdana" w:hAnsi="Verdana" w:cs="Verdana"/>
          <w:b/>
          <w:bCs/>
        </w:rPr>
        <w:t>VIGENCIA Y DEROGATORIAS.</w:t>
      </w:r>
      <w:r>
        <w:rPr>
          <w:rFonts w:ascii="Verdana" w:eastAsia="Verdana" w:hAnsi="Verdana" w:cs="Verdana"/>
        </w:rPr>
        <w:t xml:space="preserve"> La presente resolución rige a partir de su publicación y deroga las disposiciones que le sean contrarias.</w:t>
      </w:r>
    </w:p>
    <w:p w14:paraId="0000001E" w14:textId="77777777" w:rsidR="00DE09C9" w:rsidRPr="002E61FC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 w:rsidRPr="002E61FC">
        <w:rPr>
          <w:rFonts w:ascii="Verdana" w:eastAsia="Verdana" w:hAnsi="Verdana" w:cs="Verdana"/>
          <w:b/>
          <w:bCs/>
        </w:rPr>
        <w:t>PUBLÍQUESE, Y CÚMPLASE.</w:t>
      </w:r>
    </w:p>
    <w:p w14:paraId="0000001F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23 de diciembre de 2016</w:t>
      </w:r>
    </w:p>
    <w:p w14:paraId="00000020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highlight w:val="white"/>
        </w:rPr>
        <w:t>CRISTINA PLAZAS MICHELSEN.</w:t>
      </w:r>
    </w:p>
    <w:p w14:paraId="00000021" w14:textId="77777777" w:rsidR="00DE09C9" w:rsidRDefault="00A301E5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sectPr w:rsidR="00DE09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C3002C2-10AB-4587-BB22-B90EDE2C32D2}"/>
    <w:embedBold r:id="rId2" w:fontKey="{8A9D8059-B800-40CF-9C1B-2B4E81A07D3C}"/>
    <w:embedItalic r:id="rId3" w:fontKey="{2F37A0E3-6934-40D8-8E8F-24EF07CD1C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41A4B5D-B3E9-4D28-9A43-10F282DF3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4D8EED-B9B4-49E1-A341-F74B7F2CA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9C9"/>
    <w:rsid w:val="002E61FC"/>
    <w:rsid w:val="00665FDA"/>
    <w:rsid w:val="00A070C7"/>
    <w:rsid w:val="00A301E5"/>
    <w:rsid w:val="00D82003"/>
    <w:rsid w:val="00DE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51512"/>
  <w15:docId w15:val="{EEE57C02-C3C7-49A6-B5E9-7098F76E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ECE2BD-FBFC-4208-ADD3-3404695ECBB7}"/>
</file>

<file path=customXml/itemProps2.xml><?xml version="1.0" encoding="utf-8"?>
<ds:datastoreItem xmlns:ds="http://schemas.openxmlformats.org/officeDocument/2006/customXml" ds:itemID="{EB98CA89-4CEB-4402-90E1-B197FFB09F19}"/>
</file>

<file path=customXml/itemProps3.xml><?xml version="1.0" encoding="utf-8"?>
<ds:datastoreItem xmlns:ds="http://schemas.openxmlformats.org/officeDocument/2006/customXml" ds:itemID="{D7D06569-7D4A-41FB-8B3E-47543AE63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2026-02-20T13:59:00Z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