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3939" w14:textId="0AC8F0A3" w:rsidR="299A51BC" w:rsidRDefault="299A51BC" w:rsidP="61113811">
      <w:pPr>
        <w:jc w:val="center"/>
        <w:rPr>
          <w:rFonts w:ascii="Verdana" w:eastAsia="Verdana" w:hAnsi="Verdana" w:cs="Verdana"/>
          <w:b/>
          <w:bCs/>
          <w:sz w:val="22"/>
          <w:szCs w:val="22"/>
        </w:rPr>
      </w:pPr>
      <w:r w:rsidRPr="61113811">
        <w:rPr>
          <w:rFonts w:ascii="Verdana" w:eastAsia="Verdana" w:hAnsi="Verdana" w:cs="Verdana"/>
          <w:b/>
          <w:bCs/>
          <w:sz w:val="22"/>
          <w:szCs w:val="22"/>
        </w:rPr>
        <w:t>RESOLUCIÓN 1336 DE 2007</w:t>
      </w:r>
    </w:p>
    <w:p w14:paraId="2A6CC90F" w14:textId="1EF22C17" w:rsidR="00104CE8" w:rsidRPr="00104CE8" w:rsidRDefault="00104CE8" w:rsidP="00104CE8">
      <w:pPr>
        <w:pStyle w:val="Sinespaciado"/>
        <w:rPr>
          <w:rFonts w:ascii="Verdana" w:hAnsi="Verdana"/>
          <w:sz w:val="20"/>
          <w:szCs w:val="20"/>
        </w:rPr>
      </w:pPr>
      <w:r w:rsidRPr="00104CE8">
        <w:rPr>
          <w:rFonts w:ascii="Verdana" w:hAnsi="Verdana"/>
          <w:sz w:val="20"/>
          <w:szCs w:val="20"/>
        </w:rPr>
        <w:t>Fecha de Expedición: 20 de junio de 2007</w:t>
      </w:r>
    </w:p>
    <w:p w14:paraId="3F280775" w14:textId="4B922534" w:rsidR="00104CE8" w:rsidRPr="00104CE8" w:rsidRDefault="00104CE8" w:rsidP="00104CE8">
      <w:pPr>
        <w:pStyle w:val="Sinespaciado"/>
        <w:rPr>
          <w:rFonts w:ascii="Verdana" w:hAnsi="Verdana"/>
          <w:sz w:val="20"/>
          <w:szCs w:val="20"/>
        </w:rPr>
      </w:pPr>
      <w:r w:rsidRPr="00104CE8">
        <w:rPr>
          <w:rFonts w:ascii="Verdana" w:hAnsi="Verdana"/>
          <w:sz w:val="20"/>
          <w:szCs w:val="20"/>
        </w:rPr>
        <w:t xml:space="preserve">Fecha de </w:t>
      </w:r>
      <w:proofErr w:type="gramStart"/>
      <w:r w:rsidRPr="00104CE8">
        <w:rPr>
          <w:rFonts w:ascii="Verdana" w:hAnsi="Verdana"/>
          <w:sz w:val="20"/>
          <w:szCs w:val="20"/>
        </w:rPr>
        <w:t>entrada en vigencia</w:t>
      </w:r>
      <w:proofErr w:type="gramEnd"/>
      <w:r w:rsidRPr="00104CE8">
        <w:rPr>
          <w:rFonts w:ascii="Verdana" w:hAnsi="Verdana"/>
          <w:sz w:val="20"/>
          <w:szCs w:val="20"/>
        </w:rPr>
        <w:t>: 20 de junio de 2007</w:t>
      </w:r>
    </w:p>
    <w:p w14:paraId="55BDC9D4" w14:textId="40AA143B" w:rsidR="00104CE8" w:rsidRPr="00104CE8" w:rsidRDefault="00104CE8" w:rsidP="00104CE8">
      <w:pPr>
        <w:pStyle w:val="Sinespaciado"/>
        <w:rPr>
          <w:rFonts w:ascii="Verdana" w:hAnsi="Verdana"/>
          <w:sz w:val="20"/>
          <w:szCs w:val="20"/>
        </w:rPr>
      </w:pPr>
      <w:r w:rsidRPr="00104CE8">
        <w:rPr>
          <w:rFonts w:ascii="Verdana" w:hAnsi="Verdana"/>
          <w:sz w:val="20"/>
          <w:szCs w:val="20"/>
        </w:rPr>
        <w:t>Estado de la vigencia: derogada por la Resolución 1346 de 2010</w:t>
      </w:r>
    </w:p>
    <w:p w14:paraId="5E9F1491" w14:textId="77777777" w:rsidR="00104CE8" w:rsidRDefault="00104CE8" w:rsidP="00104CE8">
      <w:pPr>
        <w:pStyle w:val="Sinespaciado"/>
        <w:rPr>
          <w:rFonts w:ascii="Verdana" w:hAnsi="Verdana"/>
          <w:sz w:val="20"/>
          <w:szCs w:val="20"/>
        </w:rPr>
      </w:pPr>
    </w:p>
    <w:p w14:paraId="6CF4A4C0" w14:textId="3AE42CFF" w:rsidR="00104CE8" w:rsidRPr="00104CE8" w:rsidRDefault="00104CE8" w:rsidP="00104CE8">
      <w:pPr>
        <w:pStyle w:val="Sinespaciado"/>
        <w:rPr>
          <w:rFonts w:ascii="Verdana" w:hAnsi="Verdana"/>
          <w:sz w:val="20"/>
          <w:szCs w:val="20"/>
        </w:rPr>
      </w:pPr>
      <w:r w:rsidRPr="00104CE8">
        <w:rPr>
          <w:rFonts w:ascii="Verdana" w:hAnsi="Verdana"/>
          <w:sz w:val="20"/>
          <w:szCs w:val="20"/>
        </w:rPr>
        <w:t>Fecha de publicación en Diario Oficial: N/A</w:t>
      </w:r>
    </w:p>
    <w:p w14:paraId="60A62426" w14:textId="006158AF" w:rsidR="00104CE8" w:rsidRDefault="00104CE8" w:rsidP="00104CE8">
      <w:pPr>
        <w:pStyle w:val="Sinespaciado"/>
        <w:rPr>
          <w:rFonts w:ascii="Verdana" w:hAnsi="Verdana"/>
          <w:sz w:val="20"/>
          <w:szCs w:val="20"/>
        </w:rPr>
      </w:pPr>
      <w:r w:rsidRPr="00104CE8">
        <w:rPr>
          <w:rFonts w:ascii="Verdana" w:hAnsi="Verdana"/>
          <w:sz w:val="20"/>
          <w:szCs w:val="20"/>
        </w:rPr>
        <w:t>Número del Diario Oficial: N/A</w:t>
      </w:r>
    </w:p>
    <w:p w14:paraId="1012090F" w14:textId="77777777" w:rsidR="00104CE8" w:rsidRPr="00104CE8" w:rsidRDefault="00104CE8" w:rsidP="00104CE8">
      <w:pPr>
        <w:pStyle w:val="Sinespaciado"/>
        <w:rPr>
          <w:rFonts w:ascii="Verdana" w:hAnsi="Verdana"/>
          <w:sz w:val="20"/>
          <w:szCs w:val="20"/>
        </w:rPr>
      </w:pPr>
    </w:p>
    <w:p w14:paraId="69BC04FF" w14:textId="77777777" w:rsidR="00104CE8" w:rsidRDefault="00104CE8" w:rsidP="00104CE8">
      <w:pPr>
        <w:pStyle w:val="Sinespaciado"/>
        <w:rPr>
          <w:rFonts w:ascii="Verdana" w:hAnsi="Verdana"/>
          <w:sz w:val="20"/>
          <w:szCs w:val="20"/>
        </w:rPr>
      </w:pPr>
      <w:r w:rsidRPr="00104CE8">
        <w:rPr>
          <w:rFonts w:ascii="Verdana" w:hAnsi="Verdana"/>
          <w:sz w:val="20"/>
          <w:szCs w:val="20"/>
        </w:rPr>
        <w:t>Notas: Artículo 1 modificado por el artículo 1 de la Resolución 2287 de 2007, Artículo 2 modificado por el artículo 2 de la Resolución 2287 de 2007, Artículo 3 modificado por el artículo 3 de la Resolución 2287 de 2007, Artículo 4 modificado por el artículo 4 de la Resolución 2287 de 2007, Artículo 5 modificado por el artículo 1 de la Resolución 4488 de 2009</w:t>
      </w:r>
      <w:r w:rsidRPr="00104CE8">
        <w:rPr>
          <w:rFonts w:ascii="Verdana" w:hAnsi="Verdana"/>
          <w:sz w:val="20"/>
          <w:szCs w:val="20"/>
        </w:rPr>
        <w:tab/>
      </w:r>
    </w:p>
    <w:p w14:paraId="1ADD53D8" w14:textId="77777777" w:rsidR="00104CE8" w:rsidRDefault="00104CE8" w:rsidP="61113811">
      <w:pPr>
        <w:jc w:val="center"/>
        <w:rPr>
          <w:rFonts w:ascii="Verdana" w:eastAsia="Verdana" w:hAnsi="Verdana" w:cs="Verdana"/>
          <w:b/>
          <w:bCs/>
          <w:sz w:val="22"/>
          <w:szCs w:val="22"/>
        </w:rPr>
      </w:pPr>
    </w:p>
    <w:p w14:paraId="6F63C4FE" w14:textId="60C5AF27" w:rsidR="00046C51" w:rsidRDefault="4F63EE51" w:rsidP="61113811">
      <w:pPr>
        <w:jc w:val="center"/>
        <w:rPr>
          <w:rFonts w:ascii="Verdana" w:eastAsia="Verdana" w:hAnsi="Verdana" w:cs="Verdana"/>
          <w:b/>
          <w:bCs/>
          <w:sz w:val="22"/>
          <w:szCs w:val="22"/>
        </w:rPr>
      </w:pPr>
      <w:r w:rsidRPr="61113811">
        <w:rPr>
          <w:rFonts w:ascii="Verdana" w:eastAsia="Verdana" w:hAnsi="Verdana" w:cs="Verdana"/>
          <w:b/>
          <w:bCs/>
          <w:sz w:val="22"/>
          <w:szCs w:val="22"/>
        </w:rPr>
        <w:t>RESOLUCIÓN 1336 DE 2007</w:t>
      </w:r>
    </w:p>
    <w:p w14:paraId="6A2BC486" w14:textId="6C9E7612" w:rsidR="00046C51" w:rsidRDefault="4F63EE51" w:rsidP="61113811">
      <w:pPr>
        <w:jc w:val="center"/>
        <w:rPr>
          <w:rFonts w:ascii="Verdana" w:eastAsia="Verdana" w:hAnsi="Verdana" w:cs="Verdana"/>
          <w:b/>
          <w:bCs/>
          <w:sz w:val="22"/>
          <w:szCs w:val="22"/>
        </w:rPr>
      </w:pPr>
      <w:r w:rsidRPr="61113811">
        <w:rPr>
          <w:rFonts w:ascii="Verdana" w:eastAsia="Verdana" w:hAnsi="Verdana" w:cs="Verdana"/>
          <w:b/>
          <w:bCs/>
          <w:sz w:val="22"/>
          <w:szCs w:val="22"/>
        </w:rPr>
        <w:t>(20</w:t>
      </w:r>
      <w:r w:rsidR="2ED611C7" w:rsidRPr="61113811">
        <w:rPr>
          <w:rFonts w:ascii="Verdana" w:eastAsia="Verdana" w:hAnsi="Verdana" w:cs="Verdana"/>
          <w:b/>
          <w:bCs/>
          <w:sz w:val="22"/>
          <w:szCs w:val="22"/>
        </w:rPr>
        <w:t xml:space="preserve"> de</w:t>
      </w:r>
      <w:r w:rsidRPr="61113811">
        <w:rPr>
          <w:rFonts w:ascii="Verdana" w:eastAsia="Verdana" w:hAnsi="Verdana" w:cs="Verdana"/>
          <w:b/>
          <w:bCs/>
          <w:sz w:val="22"/>
          <w:szCs w:val="22"/>
        </w:rPr>
        <w:t xml:space="preserve"> junio)</w:t>
      </w:r>
    </w:p>
    <w:p w14:paraId="3424D8F5" w14:textId="4AB92384" w:rsidR="00046C51" w:rsidRDefault="4F63EE51" w:rsidP="61113811">
      <w:pPr>
        <w:jc w:val="center"/>
        <w:rPr>
          <w:rFonts w:ascii="Verdana" w:eastAsia="Verdana" w:hAnsi="Verdana" w:cs="Verdana"/>
          <w:b/>
          <w:bCs/>
          <w:sz w:val="22"/>
          <w:szCs w:val="22"/>
        </w:rPr>
      </w:pPr>
      <w:r w:rsidRPr="61113811">
        <w:rPr>
          <w:rFonts w:ascii="Verdana" w:eastAsia="Verdana" w:hAnsi="Verdana" w:cs="Verdana"/>
          <w:b/>
          <w:bCs/>
          <w:sz w:val="22"/>
          <w:szCs w:val="22"/>
        </w:rPr>
        <w:t>INSTITUTO COLOMBIANO DE BIENESTAR FAMILIAR - ICBF</w:t>
      </w:r>
    </w:p>
    <w:p w14:paraId="34098884" w14:textId="7E7D2A63" w:rsidR="00046C51" w:rsidRDefault="24DF2D6A" w:rsidP="61113811">
      <w:pPr>
        <w:jc w:val="center"/>
        <w:rPr>
          <w:rFonts w:ascii="Verdana" w:eastAsia="Verdana" w:hAnsi="Verdana" w:cs="Verdana"/>
          <w:sz w:val="22"/>
          <w:szCs w:val="22"/>
        </w:rPr>
      </w:pPr>
      <w:r w:rsidRPr="61113811">
        <w:rPr>
          <w:rFonts w:ascii="Verdana" w:eastAsia="Verdana" w:hAnsi="Verdana" w:cs="Verdana"/>
          <w:sz w:val="22"/>
          <w:szCs w:val="22"/>
        </w:rPr>
        <w:t>“</w:t>
      </w:r>
      <w:r w:rsidR="4F63EE51" w:rsidRPr="61113811">
        <w:rPr>
          <w:rFonts w:ascii="Verdana" w:eastAsia="Verdana" w:hAnsi="Verdana" w:cs="Verdana"/>
          <w:sz w:val="22"/>
          <w:szCs w:val="22"/>
        </w:rPr>
        <w:t>Por la cual se crea el Comité de Seguimiento para la Implementación de la Ley 1098 de 2006- Código de la Infancia y la Adolescencia</w:t>
      </w:r>
      <w:r w:rsidR="6542AED4" w:rsidRPr="61113811">
        <w:rPr>
          <w:rFonts w:ascii="Verdana" w:eastAsia="Verdana" w:hAnsi="Verdana" w:cs="Verdana"/>
          <w:sz w:val="22"/>
          <w:szCs w:val="22"/>
        </w:rPr>
        <w:t>”</w:t>
      </w:r>
    </w:p>
    <w:p w14:paraId="21BBB593" w14:textId="4CF864B1" w:rsidR="00046C51" w:rsidRPr="00104CE8" w:rsidRDefault="4F63EE51" w:rsidP="61113811">
      <w:pPr>
        <w:jc w:val="center"/>
        <w:rPr>
          <w:rFonts w:ascii="Verdana" w:eastAsia="Verdana" w:hAnsi="Verdana" w:cs="Verdana"/>
          <w:b/>
          <w:bCs/>
          <w:sz w:val="22"/>
          <w:szCs w:val="22"/>
        </w:rPr>
      </w:pPr>
      <w:r w:rsidRPr="00104CE8">
        <w:rPr>
          <w:rFonts w:ascii="Verdana" w:eastAsia="Verdana" w:hAnsi="Verdana" w:cs="Verdana"/>
          <w:b/>
          <w:bCs/>
          <w:sz w:val="22"/>
          <w:szCs w:val="22"/>
        </w:rPr>
        <w:t>LA DIRECTORA GENERAL DEL INSTITUTO COLOMBIANO</w:t>
      </w:r>
    </w:p>
    <w:p w14:paraId="0519A4E2" w14:textId="0C04B266" w:rsidR="00046C51" w:rsidRPr="00104CE8" w:rsidRDefault="4F63EE51" w:rsidP="61113811">
      <w:pPr>
        <w:jc w:val="center"/>
        <w:rPr>
          <w:rFonts w:ascii="Verdana" w:eastAsia="Verdana" w:hAnsi="Verdana" w:cs="Verdana"/>
          <w:b/>
          <w:bCs/>
          <w:sz w:val="22"/>
          <w:szCs w:val="22"/>
        </w:rPr>
      </w:pPr>
      <w:r w:rsidRPr="00104CE8">
        <w:rPr>
          <w:rFonts w:ascii="Verdana" w:eastAsia="Verdana" w:hAnsi="Verdana" w:cs="Verdana"/>
          <w:b/>
          <w:bCs/>
          <w:sz w:val="22"/>
          <w:szCs w:val="22"/>
        </w:rPr>
        <w:t>DE BIENESTAR FAMILIAR</w:t>
      </w:r>
    </w:p>
    <w:p w14:paraId="6069A663" w14:textId="626658D2" w:rsidR="00046C51" w:rsidRDefault="4F63EE51" w:rsidP="61113811">
      <w:pPr>
        <w:jc w:val="center"/>
        <w:rPr>
          <w:rFonts w:ascii="Verdana" w:eastAsia="Verdana" w:hAnsi="Verdana" w:cs="Verdana"/>
          <w:sz w:val="22"/>
          <w:szCs w:val="22"/>
        </w:rPr>
      </w:pPr>
      <w:r w:rsidRPr="61113811">
        <w:rPr>
          <w:rFonts w:ascii="Verdana" w:eastAsia="Verdana" w:hAnsi="Verdana" w:cs="Verdana"/>
          <w:sz w:val="22"/>
          <w:szCs w:val="22"/>
        </w:rPr>
        <w:t>En uso de las facultades legales y estatutarias, en especial las conferidas en el literal b) del artículo 28 de la ley 7 de 1979, artículo 27 del Decreto 1138 de 1999, artículo 78 de la Ley 489 de 1998, y</w:t>
      </w:r>
    </w:p>
    <w:p w14:paraId="44D183E4" w14:textId="0F38279A" w:rsidR="00046C51" w:rsidRDefault="4F63EE51" w:rsidP="61113811">
      <w:pPr>
        <w:jc w:val="center"/>
        <w:rPr>
          <w:rFonts w:ascii="Verdana" w:eastAsia="Verdana" w:hAnsi="Verdana" w:cs="Verdana"/>
          <w:b/>
          <w:bCs/>
          <w:sz w:val="22"/>
          <w:szCs w:val="22"/>
        </w:rPr>
      </w:pPr>
      <w:r w:rsidRPr="61113811">
        <w:rPr>
          <w:rFonts w:ascii="Verdana" w:eastAsia="Verdana" w:hAnsi="Verdana" w:cs="Verdana"/>
          <w:b/>
          <w:bCs/>
          <w:sz w:val="22"/>
          <w:szCs w:val="22"/>
        </w:rPr>
        <w:t>CONSIDERANDO</w:t>
      </w:r>
      <w:r w:rsidR="2D4F9566" w:rsidRPr="61113811">
        <w:rPr>
          <w:rFonts w:ascii="Verdana" w:eastAsia="Verdana" w:hAnsi="Verdana" w:cs="Verdana"/>
          <w:b/>
          <w:bCs/>
          <w:sz w:val="22"/>
          <w:szCs w:val="22"/>
        </w:rPr>
        <w:t xml:space="preserve">: </w:t>
      </w:r>
    </w:p>
    <w:p w14:paraId="4E64AD4A" w14:textId="23FFAF4C" w:rsidR="00046C51" w:rsidRDefault="4F63EE51" w:rsidP="61113811">
      <w:pPr>
        <w:pStyle w:val="Prrafodelista"/>
        <w:numPr>
          <w:ilvl w:val="0"/>
          <w:numId w:val="4"/>
        </w:numPr>
        <w:jc w:val="both"/>
        <w:rPr>
          <w:rFonts w:ascii="Verdana" w:eastAsia="Verdana" w:hAnsi="Verdana" w:cs="Verdana"/>
          <w:sz w:val="22"/>
          <w:szCs w:val="22"/>
        </w:rPr>
      </w:pPr>
      <w:r w:rsidRPr="61113811">
        <w:rPr>
          <w:rFonts w:ascii="Verdana" w:eastAsia="Verdana" w:hAnsi="Verdana" w:cs="Verdana"/>
          <w:sz w:val="22"/>
          <w:szCs w:val="22"/>
        </w:rPr>
        <w:t>Que el artículo 209 de la Constitución Política ordena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237F5856" w14:textId="13CA0F93" w:rsidR="00046C51" w:rsidRDefault="4F63EE51" w:rsidP="61113811">
      <w:pPr>
        <w:pStyle w:val="Prrafodelista"/>
        <w:numPr>
          <w:ilvl w:val="0"/>
          <w:numId w:val="4"/>
        </w:numPr>
        <w:jc w:val="both"/>
        <w:rPr>
          <w:rFonts w:ascii="Verdana" w:eastAsia="Verdana" w:hAnsi="Verdana" w:cs="Verdana"/>
          <w:sz w:val="22"/>
          <w:szCs w:val="22"/>
        </w:rPr>
      </w:pPr>
      <w:r w:rsidRPr="61113811">
        <w:rPr>
          <w:rFonts w:ascii="Verdana" w:eastAsia="Verdana" w:hAnsi="Verdana" w:cs="Verdana"/>
          <w:sz w:val="22"/>
          <w:szCs w:val="22"/>
        </w:rPr>
        <w:t>Que de acuerdo con lo establecido en el artículo 27 del Decreto 1138 de 1999, la Dirección General está facultada para crear los comités que considere necesarios para la adecuada atención de los asuntos del Instituto y para el efecto determinará sus funciones.</w:t>
      </w:r>
    </w:p>
    <w:p w14:paraId="74F335C3" w14:textId="1E5A4CF6" w:rsidR="00046C51" w:rsidRDefault="4F63EE51" w:rsidP="61113811">
      <w:pPr>
        <w:pStyle w:val="Prrafodelista"/>
        <w:numPr>
          <w:ilvl w:val="0"/>
          <w:numId w:val="4"/>
        </w:numPr>
        <w:jc w:val="both"/>
        <w:rPr>
          <w:rFonts w:ascii="Verdana" w:eastAsia="Verdana" w:hAnsi="Verdana" w:cs="Verdana"/>
          <w:sz w:val="22"/>
          <w:szCs w:val="22"/>
        </w:rPr>
      </w:pPr>
      <w:r w:rsidRPr="61113811">
        <w:rPr>
          <w:rFonts w:ascii="Verdana" w:eastAsia="Verdana" w:hAnsi="Verdana" w:cs="Verdana"/>
          <w:sz w:val="22"/>
          <w:szCs w:val="22"/>
        </w:rPr>
        <w:t>Que se hace necesario crear un comité encargado de efectuar el seguimiento en la implementación de la Ley 1098 de 2006 Código de la Infancia y la Adolescencia.</w:t>
      </w:r>
    </w:p>
    <w:p w14:paraId="542D12A1" w14:textId="4153096D" w:rsidR="00046C51" w:rsidRDefault="4F63EE51" w:rsidP="61113811">
      <w:pPr>
        <w:pStyle w:val="Prrafodelista"/>
        <w:numPr>
          <w:ilvl w:val="0"/>
          <w:numId w:val="4"/>
        </w:numPr>
        <w:jc w:val="both"/>
        <w:rPr>
          <w:rFonts w:ascii="Verdana" w:eastAsia="Verdana" w:hAnsi="Verdana" w:cs="Verdana"/>
          <w:sz w:val="22"/>
          <w:szCs w:val="22"/>
        </w:rPr>
      </w:pPr>
      <w:proofErr w:type="gramStart"/>
      <w:r w:rsidRPr="61113811">
        <w:rPr>
          <w:rFonts w:ascii="Verdana" w:eastAsia="Verdana" w:hAnsi="Verdana" w:cs="Verdana"/>
          <w:sz w:val="22"/>
          <w:szCs w:val="22"/>
        </w:rPr>
        <w:t>Que</w:t>
      </w:r>
      <w:proofErr w:type="gramEnd"/>
      <w:r w:rsidRPr="61113811">
        <w:rPr>
          <w:rFonts w:ascii="Verdana" w:eastAsia="Verdana" w:hAnsi="Verdana" w:cs="Verdana"/>
          <w:sz w:val="22"/>
          <w:szCs w:val="22"/>
        </w:rPr>
        <w:t xml:space="preserve"> en mérito de lo expuesto,</w:t>
      </w:r>
    </w:p>
    <w:p w14:paraId="625D3007" w14:textId="572D2DD8" w:rsidR="00046C51" w:rsidRDefault="4F63EE51" w:rsidP="61113811">
      <w:pPr>
        <w:jc w:val="center"/>
        <w:rPr>
          <w:rFonts w:ascii="Verdana" w:eastAsia="Verdana" w:hAnsi="Verdana" w:cs="Verdana"/>
          <w:b/>
          <w:bCs/>
          <w:sz w:val="22"/>
          <w:szCs w:val="22"/>
        </w:rPr>
      </w:pPr>
      <w:r w:rsidRPr="61113811">
        <w:rPr>
          <w:rFonts w:ascii="Verdana" w:eastAsia="Verdana" w:hAnsi="Verdana" w:cs="Verdana"/>
          <w:b/>
          <w:bCs/>
          <w:sz w:val="22"/>
          <w:szCs w:val="22"/>
        </w:rPr>
        <w:t>RESUELVE</w:t>
      </w:r>
      <w:r w:rsidR="0DED6B86" w:rsidRPr="61113811">
        <w:rPr>
          <w:rFonts w:ascii="Verdana" w:eastAsia="Verdana" w:hAnsi="Verdana" w:cs="Verdana"/>
          <w:b/>
          <w:bCs/>
          <w:sz w:val="22"/>
          <w:szCs w:val="22"/>
        </w:rPr>
        <w:t xml:space="preserve">: </w:t>
      </w:r>
    </w:p>
    <w:p w14:paraId="55752AC1" w14:textId="0EE08823" w:rsidR="00046C51" w:rsidRDefault="4F63EE51" w:rsidP="7E845136">
      <w:pPr>
        <w:jc w:val="both"/>
        <w:rPr>
          <w:rFonts w:ascii="Verdana" w:eastAsia="Verdana" w:hAnsi="Verdana" w:cs="Verdana"/>
          <w:sz w:val="22"/>
          <w:szCs w:val="22"/>
        </w:rPr>
      </w:pPr>
      <w:r w:rsidRPr="61113811">
        <w:rPr>
          <w:rFonts w:ascii="Verdana" w:eastAsia="Verdana" w:hAnsi="Verdana" w:cs="Verdana"/>
          <w:b/>
          <w:bCs/>
          <w:sz w:val="22"/>
          <w:szCs w:val="22"/>
        </w:rPr>
        <w:t>ARTÍCULO 1o. CREACIÓN Y OBJETO.</w:t>
      </w:r>
      <w:r w:rsidRPr="61113811">
        <w:rPr>
          <w:rFonts w:ascii="Verdana" w:eastAsia="Verdana" w:hAnsi="Verdana" w:cs="Verdana"/>
          <w:sz w:val="22"/>
          <w:szCs w:val="22"/>
        </w:rPr>
        <w:t xml:space="preserve"> </w:t>
      </w:r>
      <w:r w:rsidR="508EA290" w:rsidRPr="61113811">
        <w:rPr>
          <w:rFonts w:ascii="Verdana" w:eastAsia="Verdana" w:hAnsi="Verdana" w:cs="Verdana"/>
          <w:sz w:val="22"/>
          <w:szCs w:val="22"/>
        </w:rPr>
        <w:t>[</w:t>
      </w:r>
      <w:r w:rsidRPr="61113811">
        <w:rPr>
          <w:rFonts w:ascii="Verdana" w:eastAsia="Verdana" w:hAnsi="Verdana" w:cs="Verdana"/>
          <w:sz w:val="22"/>
          <w:szCs w:val="22"/>
        </w:rPr>
        <w:t>Resolución derogada por la Resolución 1346 de 2010</w:t>
      </w:r>
      <w:r w:rsidR="61DD36F0" w:rsidRPr="61113811">
        <w:rPr>
          <w:rFonts w:ascii="Verdana" w:eastAsia="Verdana" w:hAnsi="Verdana" w:cs="Verdana"/>
          <w:sz w:val="22"/>
          <w:szCs w:val="22"/>
        </w:rPr>
        <w:t>]</w:t>
      </w:r>
      <w:r w:rsidRPr="61113811">
        <w:rPr>
          <w:rFonts w:ascii="Verdana" w:eastAsia="Verdana" w:hAnsi="Verdana" w:cs="Verdana"/>
          <w:sz w:val="22"/>
          <w:szCs w:val="22"/>
        </w:rPr>
        <w:t xml:space="preserve"> </w:t>
      </w:r>
      <w:r w:rsidR="62CE1EF7" w:rsidRPr="61113811">
        <w:rPr>
          <w:rFonts w:ascii="Verdana" w:eastAsia="Verdana" w:hAnsi="Verdana" w:cs="Verdana"/>
          <w:sz w:val="22"/>
          <w:szCs w:val="22"/>
        </w:rPr>
        <w:t>[</w:t>
      </w:r>
      <w:r w:rsidRPr="61113811">
        <w:rPr>
          <w:rFonts w:ascii="Verdana" w:eastAsia="Verdana" w:hAnsi="Verdana" w:cs="Verdana"/>
          <w:sz w:val="22"/>
          <w:szCs w:val="22"/>
        </w:rPr>
        <w:t xml:space="preserve">Artículo modificado por el artículo 1 de la Resolución 2287 de </w:t>
      </w:r>
      <w:r w:rsidRPr="61113811">
        <w:rPr>
          <w:rFonts w:ascii="Verdana" w:eastAsia="Verdana" w:hAnsi="Verdana" w:cs="Verdana"/>
          <w:sz w:val="22"/>
          <w:szCs w:val="22"/>
        </w:rPr>
        <w:lastRenderedPageBreak/>
        <w:t>2007.</w:t>
      </w:r>
      <w:r w:rsidR="73FCDD87" w:rsidRPr="61113811">
        <w:rPr>
          <w:rFonts w:ascii="Verdana" w:eastAsia="Verdana" w:hAnsi="Verdana" w:cs="Verdana"/>
          <w:sz w:val="22"/>
          <w:szCs w:val="22"/>
        </w:rPr>
        <w:t>]</w:t>
      </w:r>
      <w:r w:rsidRPr="61113811">
        <w:rPr>
          <w:rFonts w:ascii="Verdana" w:eastAsia="Verdana" w:hAnsi="Verdana" w:cs="Verdana"/>
          <w:sz w:val="22"/>
          <w:szCs w:val="22"/>
        </w:rPr>
        <w:t xml:space="preserve"> </w:t>
      </w:r>
      <w:r w:rsidR="16B19516" w:rsidRPr="61113811">
        <w:rPr>
          <w:rFonts w:ascii="Verdana" w:eastAsia="Verdana" w:hAnsi="Verdana" w:cs="Verdana"/>
          <w:sz w:val="22"/>
          <w:szCs w:val="22"/>
        </w:rPr>
        <w:t xml:space="preserve"> </w:t>
      </w:r>
      <w:r w:rsidR="407ACB1F" w:rsidRPr="61113811">
        <w:rPr>
          <w:rFonts w:ascii="Verdana" w:eastAsia="Verdana" w:hAnsi="Verdana" w:cs="Verdana"/>
          <w:sz w:val="22"/>
          <w:szCs w:val="22"/>
        </w:rPr>
        <w:t>Crear el Comité de Seguimiento para la Implementación de la Ley 1098 de 2006- Código de la Infancia y la Adolescencia, con el objeto de coordinar con cada una de las áreas del Instituto Colombiano de Bienestar Familiar, todas las actividades y metas definidas en el Plan Operativo General, que permitan de manera integral el cumplimiento y operatividad del Código de la Infancia y la Adolescencia.</w:t>
      </w:r>
    </w:p>
    <w:p w14:paraId="0BB3290F" w14:textId="12A74FD8" w:rsidR="00046C51" w:rsidRDefault="4F63EE51" w:rsidP="61113811">
      <w:pPr>
        <w:jc w:val="both"/>
        <w:rPr>
          <w:rFonts w:ascii="Verdana" w:eastAsia="Verdana" w:hAnsi="Verdana" w:cs="Verdana"/>
          <w:sz w:val="22"/>
          <w:szCs w:val="22"/>
        </w:rPr>
      </w:pPr>
      <w:r w:rsidRPr="61113811">
        <w:rPr>
          <w:rFonts w:ascii="Verdana" w:eastAsia="Verdana" w:hAnsi="Verdana" w:cs="Verdana"/>
          <w:b/>
          <w:bCs/>
          <w:sz w:val="22"/>
          <w:szCs w:val="22"/>
        </w:rPr>
        <w:t xml:space="preserve">ARTÍCULO 2o. </w:t>
      </w:r>
      <w:r w:rsidRPr="00104CE8">
        <w:rPr>
          <w:rFonts w:ascii="Verdana" w:eastAsia="Verdana" w:hAnsi="Verdana" w:cs="Verdana"/>
          <w:b/>
          <w:bCs/>
          <w:sz w:val="22"/>
          <w:szCs w:val="22"/>
        </w:rPr>
        <w:t>INTEGRACIÓN</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Resolución derogada por la Resolución 1346 de 2010</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Artículo modificado por el artículo 2 de la Resolución 2287 de 2007</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w:t>
      </w:r>
      <w:r w:rsidR="345E92CC" w:rsidRPr="61113811">
        <w:rPr>
          <w:rFonts w:ascii="Verdana" w:eastAsia="Verdana" w:hAnsi="Verdana" w:cs="Verdana"/>
          <w:sz w:val="22"/>
          <w:szCs w:val="22"/>
        </w:rPr>
        <w:t>El comité, estará conformado por los siguientes Servidores públicos de la entidad quienes actuarán con voz y voto, así:</w:t>
      </w:r>
    </w:p>
    <w:p w14:paraId="70504D27" w14:textId="72C36303" w:rsidR="00046C51" w:rsidRDefault="345E92CC" w:rsidP="61113811">
      <w:pPr>
        <w:pStyle w:val="Prrafodelista"/>
        <w:numPr>
          <w:ilvl w:val="0"/>
          <w:numId w:val="3"/>
        </w:numPr>
        <w:jc w:val="both"/>
        <w:rPr>
          <w:rFonts w:ascii="Verdana" w:eastAsia="Verdana" w:hAnsi="Verdana" w:cs="Verdana"/>
          <w:sz w:val="22"/>
          <w:szCs w:val="22"/>
        </w:rPr>
      </w:pPr>
      <w:r w:rsidRPr="61113811">
        <w:rPr>
          <w:rFonts w:ascii="Verdana" w:eastAsia="Verdana" w:hAnsi="Verdana" w:cs="Verdana"/>
          <w:sz w:val="22"/>
          <w:szCs w:val="22"/>
        </w:rPr>
        <w:t>Secretaria General, o su delegado.</w:t>
      </w:r>
    </w:p>
    <w:p w14:paraId="2A5ACFF9" w14:textId="29267817" w:rsidR="00046C51" w:rsidRDefault="345E92CC" w:rsidP="61113811">
      <w:pPr>
        <w:pStyle w:val="Prrafodelista"/>
        <w:numPr>
          <w:ilvl w:val="0"/>
          <w:numId w:val="3"/>
        </w:numPr>
        <w:jc w:val="both"/>
        <w:rPr>
          <w:rFonts w:ascii="Verdana" w:eastAsia="Verdana" w:hAnsi="Verdana" w:cs="Verdana"/>
          <w:sz w:val="22"/>
          <w:szCs w:val="22"/>
        </w:rPr>
      </w:pPr>
      <w:r w:rsidRPr="61113811">
        <w:rPr>
          <w:rFonts w:ascii="Verdana" w:eastAsia="Verdana" w:hAnsi="Verdana" w:cs="Verdana"/>
          <w:sz w:val="22"/>
          <w:szCs w:val="22"/>
        </w:rPr>
        <w:t>Asesora Dirección General, o su delegado.</w:t>
      </w:r>
    </w:p>
    <w:p w14:paraId="5C533562" w14:textId="413B6992" w:rsidR="00046C51" w:rsidRDefault="345E92CC" w:rsidP="61113811">
      <w:pPr>
        <w:pStyle w:val="Prrafodelista"/>
        <w:numPr>
          <w:ilvl w:val="0"/>
          <w:numId w:val="3"/>
        </w:numPr>
        <w:jc w:val="both"/>
        <w:rPr>
          <w:rFonts w:ascii="Verdana" w:eastAsia="Verdana" w:hAnsi="Verdana" w:cs="Verdana"/>
          <w:sz w:val="22"/>
          <w:szCs w:val="22"/>
        </w:rPr>
      </w:pPr>
      <w:r w:rsidRPr="61113811">
        <w:rPr>
          <w:rFonts w:ascii="Verdana" w:eastAsia="Verdana" w:hAnsi="Verdana" w:cs="Verdana"/>
          <w:sz w:val="22"/>
          <w:szCs w:val="22"/>
        </w:rPr>
        <w:t>Subdirectora Investigaciones, o su delegado.</w:t>
      </w:r>
    </w:p>
    <w:p w14:paraId="3F7742E2" w14:textId="0C49BAC6" w:rsidR="00046C51" w:rsidRDefault="345E92CC" w:rsidP="61113811">
      <w:pPr>
        <w:pStyle w:val="Prrafodelista"/>
        <w:numPr>
          <w:ilvl w:val="0"/>
          <w:numId w:val="3"/>
        </w:numPr>
        <w:jc w:val="both"/>
        <w:rPr>
          <w:rFonts w:ascii="Verdana" w:eastAsia="Verdana" w:hAnsi="Verdana" w:cs="Verdana"/>
          <w:sz w:val="22"/>
          <w:szCs w:val="22"/>
        </w:rPr>
      </w:pPr>
      <w:r w:rsidRPr="61113811">
        <w:rPr>
          <w:rFonts w:ascii="Verdana" w:eastAsia="Verdana" w:hAnsi="Verdana" w:cs="Verdana"/>
          <w:sz w:val="22"/>
          <w:szCs w:val="22"/>
        </w:rPr>
        <w:t>Subdirector Seguimiento y Análisis, o su delegado.</w:t>
      </w:r>
    </w:p>
    <w:p w14:paraId="7183B0E6" w14:textId="549FA93A" w:rsidR="00046C51" w:rsidRDefault="345E92CC" w:rsidP="61113811">
      <w:pPr>
        <w:pStyle w:val="Prrafodelista"/>
        <w:numPr>
          <w:ilvl w:val="0"/>
          <w:numId w:val="3"/>
        </w:numPr>
        <w:jc w:val="both"/>
        <w:rPr>
          <w:rFonts w:ascii="Verdana" w:eastAsia="Verdana" w:hAnsi="Verdana" w:cs="Verdana"/>
          <w:sz w:val="22"/>
          <w:szCs w:val="22"/>
        </w:rPr>
      </w:pPr>
      <w:r w:rsidRPr="61113811">
        <w:rPr>
          <w:rFonts w:ascii="Verdana" w:eastAsia="Verdana" w:hAnsi="Verdana" w:cs="Verdana"/>
          <w:sz w:val="22"/>
          <w:szCs w:val="22"/>
        </w:rPr>
        <w:t>Subdirectora de Lineamientos y Estándares, o su delegado.</w:t>
      </w:r>
    </w:p>
    <w:p w14:paraId="144662D1" w14:textId="43E3804B" w:rsidR="00046C51" w:rsidRDefault="345E92CC" w:rsidP="61113811">
      <w:pPr>
        <w:pStyle w:val="Prrafodelista"/>
        <w:numPr>
          <w:ilvl w:val="0"/>
          <w:numId w:val="3"/>
        </w:numPr>
        <w:jc w:val="both"/>
        <w:rPr>
          <w:rFonts w:ascii="Verdana" w:eastAsia="Verdana" w:hAnsi="Verdana" w:cs="Verdana"/>
          <w:sz w:val="22"/>
          <w:szCs w:val="22"/>
        </w:rPr>
      </w:pPr>
      <w:r w:rsidRPr="61113811">
        <w:rPr>
          <w:rFonts w:ascii="Verdana" w:eastAsia="Verdana" w:hAnsi="Verdana" w:cs="Verdana"/>
          <w:sz w:val="22"/>
          <w:szCs w:val="22"/>
        </w:rPr>
        <w:t>Subdirección Mejoramiento Organizacional, o su delegado.</w:t>
      </w:r>
    </w:p>
    <w:p w14:paraId="7F9B9609" w14:textId="0C308501" w:rsidR="00046C51" w:rsidRDefault="345E92CC" w:rsidP="61113811">
      <w:pPr>
        <w:pStyle w:val="Prrafodelista"/>
        <w:numPr>
          <w:ilvl w:val="0"/>
          <w:numId w:val="3"/>
        </w:numPr>
        <w:jc w:val="both"/>
        <w:rPr>
          <w:rFonts w:ascii="Verdana" w:eastAsia="Verdana" w:hAnsi="Verdana" w:cs="Verdana"/>
          <w:sz w:val="22"/>
          <w:szCs w:val="22"/>
        </w:rPr>
      </w:pPr>
      <w:r w:rsidRPr="61113811">
        <w:rPr>
          <w:rFonts w:ascii="Verdana" w:eastAsia="Verdana" w:hAnsi="Verdana" w:cs="Verdana"/>
          <w:sz w:val="22"/>
          <w:szCs w:val="22"/>
        </w:rPr>
        <w:t>Jefe Oficina Jurídica, o su delegado.</w:t>
      </w:r>
    </w:p>
    <w:p w14:paraId="2959F9BE" w14:textId="190BD516" w:rsidR="00046C51" w:rsidRDefault="345E92CC" w:rsidP="7E845136">
      <w:pPr>
        <w:jc w:val="both"/>
      </w:pPr>
      <w:r w:rsidRPr="61113811">
        <w:rPr>
          <w:rFonts w:ascii="Verdana" w:eastAsia="Verdana" w:hAnsi="Verdana" w:cs="Verdana"/>
          <w:b/>
          <w:bCs/>
          <w:sz w:val="22"/>
          <w:szCs w:val="22"/>
        </w:rPr>
        <w:t xml:space="preserve">PARÁGRAFO. </w:t>
      </w:r>
      <w:r w:rsidRPr="61113811">
        <w:rPr>
          <w:rFonts w:ascii="Verdana" w:eastAsia="Verdana" w:hAnsi="Verdana" w:cs="Verdana"/>
          <w:sz w:val="22"/>
          <w:szCs w:val="22"/>
        </w:rPr>
        <w:t>Podrán asistir a las reuniones del Comité, como invitados, otros Servidores públicos de las dependencias del ICBF, entidades públicas o privadas cuya presencia se considere conveniente o necesaria para la implementación de la Ley 1098 de 2006 -Código de la Infancia y la Adolescencia.</w:t>
      </w:r>
    </w:p>
    <w:p w14:paraId="2737B0D3" w14:textId="6479946E" w:rsidR="00046C51" w:rsidRDefault="4F63EE51" w:rsidP="61113811">
      <w:pPr>
        <w:jc w:val="both"/>
        <w:rPr>
          <w:rFonts w:ascii="Verdana" w:eastAsia="Verdana" w:hAnsi="Verdana" w:cs="Verdana"/>
          <w:sz w:val="22"/>
          <w:szCs w:val="22"/>
        </w:rPr>
      </w:pPr>
      <w:r w:rsidRPr="61113811">
        <w:rPr>
          <w:rFonts w:ascii="Verdana" w:eastAsia="Verdana" w:hAnsi="Verdana" w:cs="Verdana"/>
          <w:b/>
          <w:bCs/>
          <w:sz w:val="22"/>
          <w:szCs w:val="22"/>
        </w:rPr>
        <w:t>ARTÍCULO 3o. FUNCIONES.</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Resolución derogada por la Resolución 1346 de 2010</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Artículo modificado por el artículo 3 de la Resolución 2287 de 2007</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w:t>
      </w:r>
      <w:r w:rsidR="711B2810" w:rsidRPr="61113811">
        <w:rPr>
          <w:rFonts w:ascii="Verdana" w:eastAsia="Verdana" w:hAnsi="Verdana" w:cs="Verdana"/>
          <w:sz w:val="22"/>
          <w:szCs w:val="22"/>
        </w:rPr>
        <w:t>El Comité ejercerá las siguientes funciones:</w:t>
      </w:r>
    </w:p>
    <w:p w14:paraId="081E04FC" w14:textId="4A7A7713" w:rsidR="00046C51" w:rsidRDefault="711B2810" w:rsidP="61113811">
      <w:pPr>
        <w:pStyle w:val="Prrafodelista"/>
        <w:numPr>
          <w:ilvl w:val="0"/>
          <w:numId w:val="2"/>
        </w:numPr>
        <w:jc w:val="both"/>
        <w:rPr>
          <w:rFonts w:ascii="Verdana" w:eastAsia="Verdana" w:hAnsi="Verdana" w:cs="Verdana"/>
          <w:sz w:val="22"/>
          <w:szCs w:val="22"/>
        </w:rPr>
      </w:pPr>
      <w:r w:rsidRPr="61113811">
        <w:rPr>
          <w:rFonts w:ascii="Verdana" w:eastAsia="Verdana" w:hAnsi="Verdana" w:cs="Verdana"/>
          <w:sz w:val="22"/>
          <w:szCs w:val="22"/>
        </w:rPr>
        <w:t>Definir los instrumentos y estrategias que permitan realizar el seguimiento a la implementación de la Ley 1098 de 2006 -Código de la Infancia y la Adolescencia.</w:t>
      </w:r>
    </w:p>
    <w:p w14:paraId="299E8C66" w14:textId="0FC845E6" w:rsidR="00046C51" w:rsidRDefault="711B2810" w:rsidP="61113811">
      <w:pPr>
        <w:pStyle w:val="Prrafodelista"/>
        <w:numPr>
          <w:ilvl w:val="0"/>
          <w:numId w:val="2"/>
        </w:numPr>
        <w:jc w:val="both"/>
        <w:rPr>
          <w:rFonts w:ascii="Verdana" w:eastAsia="Verdana" w:hAnsi="Verdana" w:cs="Verdana"/>
          <w:sz w:val="22"/>
          <w:szCs w:val="22"/>
        </w:rPr>
      </w:pPr>
      <w:r w:rsidRPr="61113811">
        <w:rPr>
          <w:rFonts w:ascii="Verdana" w:eastAsia="Verdana" w:hAnsi="Verdana" w:cs="Verdana"/>
          <w:sz w:val="22"/>
          <w:szCs w:val="22"/>
        </w:rPr>
        <w:t>Presentar a la Dirección General informes mensuales de avance al seguimiento sobre la implementación de la Ley 1098 de 2006- Código de la Infancia y la Adolescencia.</w:t>
      </w:r>
    </w:p>
    <w:p w14:paraId="2F4B6075" w14:textId="67DC2D83" w:rsidR="00046C51" w:rsidRDefault="711B2810" w:rsidP="61113811">
      <w:pPr>
        <w:pStyle w:val="Prrafodelista"/>
        <w:numPr>
          <w:ilvl w:val="0"/>
          <w:numId w:val="2"/>
        </w:numPr>
        <w:jc w:val="both"/>
        <w:rPr>
          <w:rFonts w:ascii="Verdana" w:eastAsia="Verdana" w:hAnsi="Verdana" w:cs="Verdana"/>
          <w:sz w:val="22"/>
          <w:szCs w:val="22"/>
        </w:rPr>
      </w:pPr>
      <w:r w:rsidRPr="61113811">
        <w:rPr>
          <w:rFonts w:ascii="Verdana" w:eastAsia="Verdana" w:hAnsi="Verdana" w:cs="Verdana"/>
          <w:sz w:val="22"/>
          <w:szCs w:val="22"/>
        </w:rPr>
        <w:t>Realizar el seguimiento a cada área responsable, a las diferentes actividades, que permitan asegurar el cumplimiento al Plan Operativo General.</w:t>
      </w:r>
    </w:p>
    <w:p w14:paraId="7DA36F3D" w14:textId="7807B937" w:rsidR="00046C51" w:rsidRDefault="711B2810" w:rsidP="61113811">
      <w:pPr>
        <w:pStyle w:val="Prrafodelista"/>
        <w:numPr>
          <w:ilvl w:val="0"/>
          <w:numId w:val="2"/>
        </w:numPr>
        <w:jc w:val="both"/>
        <w:rPr>
          <w:rFonts w:ascii="Verdana" w:eastAsia="Verdana" w:hAnsi="Verdana" w:cs="Verdana"/>
          <w:sz w:val="22"/>
          <w:szCs w:val="22"/>
        </w:rPr>
      </w:pPr>
      <w:r w:rsidRPr="61113811">
        <w:rPr>
          <w:rFonts w:ascii="Verdana" w:eastAsia="Verdana" w:hAnsi="Verdana" w:cs="Verdana"/>
          <w:sz w:val="22"/>
          <w:szCs w:val="22"/>
        </w:rPr>
        <w:t>Orientar mediante indicadores de seguimiento la adecuada ejecución y el cumplimiento de las actividades definidas en el Plan Operativo General, a cada área responsable del Instituto, en la implementación de la Ley 1098 de 2006-Código de la Infancia y la Adolescencia.</w:t>
      </w:r>
    </w:p>
    <w:p w14:paraId="69B011F9" w14:textId="1854F6FF" w:rsidR="00046C51" w:rsidRDefault="711B2810" w:rsidP="61113811">
      <w:pPr>
        <w:pStyle w:val="Prrafodelista"/>
        <w:numPr>
          <w:ilvl w:val="0"/>
          <w:numId w:val="2"/>
        </w:numPr>
        <w:jc w:val="both"/>
        <w:rPr>
          <w:rFonts w:ascii="Verdana" w:eastAsia="Verdana" w:hAnsi="Verdana" w:cs="Verdana"/>
          <w:sz w:val="22"/>
          <w:szCs w:val="22"/>
        </w:rPr>
      </w:pPr>
      <w:r w:rsidRPr="61113811">
        <w:rPr>
          <w:rFonts w:ascii="Verdana" w:eastAsia="Verdana" w:hAnsi="Verdana" w:cs="Verdana"/>
          <w:sz w:val="22"/>
          <w:szCs w:val="22"/>
        </w:rPr>
        <w:t>Solicitar, a las áreas responsables del ICBF, informes sobre el estado de avance en la implementación de la Ley 1098 de 2006- Código de la Infancia y la Adolescencia.</w:t>
      </w:r>
    </w:p>
    <w:p w14:paraId="6388B6CB" w14:textId="3E19D08B" w:rsidR="00046C51" w:rsidRDefault="711B2810" w:rsidP="61113811">
      <w:pPr>
        <w:pStyle w:val="Prrafodelista"/>
        <w:numPr>
          <w:ilvl w:val="0"/>
          <w:numId w:val="2"/>
        </w:numPr>
        <w:jc w:val="both"/>
        <w:rPr>
          <w:rFonts w:ascii="Verdana" w:eastAsia="Verdana" w:hAnsi="Verdana" w:cs="Verdana"/>
          <w:sz w:val="22"/>
          <w:szCs w:val="22"/>
        </w:rPr>
      </w:pPr>
      <w:r w:rsidRPr="61113811">
        <w:rPr>
          <w:rFonts w:ascii="Verdana" w:eastAsia="Verdana" w:hAnsi="Verdana" w:cs="Verdana"/>
          <w:sz w:val="22"/>
          <w:szCs w:val="22"/>
        </w:rPr>
        <w:t>Las demás que le asigne la Dirección General.</w:t>
      </w:r>
    </w:p>
    <w:p w14:paraId="0815CD41" w14:textId="47FC8569" w:rsidR="00046C51" w:rsidRDefault="4F63EE51" w:rsidP="61113811">
      <w:pPr>
        <w:jc w:val="both"/>
        <w:rPr>
          <w:rFonts w:ascii="Verdana" w:eastAsia="Verdana" w:hAnsi="Verdana" w:cs="Verdana"/>
          <w:sz w:val="22"/>
          <w:szCs w:val="22"/>
        </w:rPr>
      </w:pPr>
      <w:r w:rsidRPr="61113811">
        <w:rPr>
          <w:rFonts w:ascii="Verdana" w:eastAsia="Verdana" w:hAnsi="Verdana" w:cs="Verdana"/>
          <w:b/>
          <w:bCs/>
          <w:sz w:val="22"/>
          <w:szCs w:val="22"/>
        </w:rPr>
        <w:lastRenderedPageBreak/>
        <w:t>ARTÍCULO 4o. SECRETARÍA TÉCNICA.</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Resolución derogada por la Resolución 1346 de 2010</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Artículo modificado por el artículo 4 de la Resolución 2287 de 2007</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w:t>
      </w:r>
      <w:r w:rsidR="490C1ECD" w:rsidRPr="61113811">
        <w:rPr>
          <w:rFonts w:ascii="Verdana" w:eastAsia="Verdana" w:hAnsi="Verdana" w:cs="Verdana"/>
          <w:sz w:val="22"/>
          <w:szCs w:val="22"/>
        </w:rPr>
        <w:t xml:space="preserve">El </w:t>
      </w:r>
      <w:proofErr w:type="gramStart"/>
      <w:r w:rsidR="490C1ECD" w:rsidRPr="61113811">
        <w:rPr>
          <w:rFonts w:ascii="Verdana" w:eastAsia="Verdana" w:hAnsi="Verdana" w:cs="Verdana"/>
          <w:sz w:val="22"/>
          <w:szCs w:val="22"/>
        </w:rPr>
        <w:t>Subdirector</w:t>
      </w:r>
      <w:proofErr w:type="gramEnd"/>
      <w:r w:rsidR="490C1ECD" w:rsidRPr="61113811">
        <w:rPr>
          <w:rFonts w:ascii="Verdana" w:eastAsia="Verdana" w:hAnsi="Verdana" w:cs="Verdana"/>
          <w:sz w:val="22"/>
          <w:szCs w:val="22"/>
        </w:rPr>
        <w:t xml:space="preserve"> de Seguimiento y Análisis del Instituto Colombiano de Bienestar Familiar ICBF, ejercerá las funciones de Secretaría Técnica del Comité y cumplirá las siguientes funciones:</w:t>
      </w:r>
    </w:p>
    <w:p w14:paraId="0833FA3F" w14:textId="520CB715" w:rsidR="00046C51" w:rsidRDefault="490C1ECD" w:rsidP="61113811">
      <w:pPr>
        <w:pStyle w:val="Prrafodelista"/>
        <w:numPr>
          <w:ilvl w:val="0"/>
          <w:numId w:val="1"/>
        </w:numPr>
        <w:jc w:val="both"/>
        <w:rPr>
          <w:rFonts w:ascii="Verdana" w:eastAsia="Verdana" w:hAnsi="Verdana" w:cs="Verdana"/>
          <w:sz w:val="22"/>
          <w:szCs w:val="22"/>
        </w:rPr>
      </w:pPr>
      <w:r w:rsidRPr="61113811">
        <w:rPr>
          <w:rFonts w:ascii="Verdana" w:eastAsia="Verdana" w:hAnsi="Verdana" w:cs="Verdana"/>
          <w:sz w:val="22"/>
          <w:szCs w:val="22"/>
        </w:rPr>
        <w:t>Convocar a las sesiones ordinarias y extraordinarias.</w:t>
      </w:r>
    </w:p>
    <w:p w14:paraId="53B0D626" w14:textId="4496E668" w:rsidR="00046C51" w:rsidRDefault="490C1ECD" w:rsidP="61113811">
      <w:pPr>
        <w:pStyle w:val="Prrafodelista"/>
        <w:numPr>
          <w:ilvl w:val="0"/>
          <w:numId w:val="1"/>
        </w:numPr>
        <w:jc w:val="both"/>
        <w:rPr>
          <w:rFonts w:ascii="Verdana" w:eastAsia="Verdana" w:hAnsi="Verdana" w:cs="Verdana"/>
          <w:sz w:val="22"/>
          <w:szCs w:val="22"/>
        </w:rPr>
      </w:pPr>
      <w:r w:rsidRPr="61113811">
        <w:rPr>
          <w:rFonts w:ascii="Verdana" w:eastAsia="Verdana" w:hAnsi="Verdana" w:cs="Verdana"/>
          <w:sz w:val="22"/>
          <w:szCs w:val="22"/>
        </w:rPr>
        <w:t>Elaborar el orden del día de cada reunión.</w:t>
      </w:r>
    </w:p>
    <w:p w14:paraId="42272C19" w14:textId="41254202" w:rsidR="00046C51" w:rsidRDefault="490C1ECD" w:rsidP="61113811">
      <w:pPr>
        <w:pStyle w:val="Prrafodelista"/>
        <w:numPr>
          <w:ilvl w:val="0"/>
          <w:numId w:val="1"/>
        </w:numPr>
        <w:jc w:val="both"/>
        <w:rPr>
          <w:rFonts w:ascii="Verdana" w:eastAsia="Verdana" w:hAnsi="Verdana" w:cs="Verdana"/>
          <w:sz w:val="22"/>
          <w:szCs w:val="22"/>
        </w:rPr>
      </w:pPr>
      <w:r w:rsidRPr="61113811">
        <w:rPr>
          <w:rFonts w:ascii="Verdana" w:eastAsia="Verdana" w:hAnsi="Verdana" w:cs="Verdana"/>
          <w:sz w:val="22"/>
          <w:szCs w:val="22"/>
        </w:rPr>
        <w:t>Elaborar y archivar, las actas de cada sesión del Comité, los antecedentes y demás soportes documentales.</w:t>
      </w:r>
    </w:p>
    <w:p w14:paraId="126160BC" w14:textId="348DDFB6" w:rsidR="00046C51" w:rsidRDefault="490C1ECD" w:rsidP="61113811">
      <w:pPr>
        <w:pStyle w:val="Prrafodelista"/>
        <w:numPr>
          <w:ilvl w:val="0"/>
          <w:numId w:val="1"/>
        </w:numPr>
        <w:jc w:val="both"/>
        <w:rPr>
          <w:rFonts w:ascii="Verdana" w:eastAsia="Verdana" w:hAnsi="Verdana" w:cs="Verdana"/>
          <w:sz w:val="22"/>
          <w:szCs w:val="22"/>
        </w:rPr>
      </w:pPr>
      <w:r w:rsidRPr="61113811">
        <w:rPr>
          <w:rFonts w:ascii="Verdana" w:eastAsia="Verdana" w:hAnsi="Verdana" w:cs="Verdana"/>
          <w:sz w:val="22"/>
          <w:szCs w:val="22"/>
        </w:rPr>
        <w:t>Coordinar el cumplimiento de las funciones del Comité.</w:t>
      </w:r>
    </w:p>
    <w:p w14:paraId="34F3856D" w14:textId="487ABCB8" w:rsidR="00046C51" w:rsidRDefault="490C1ECD" w:rsidP="61113811">
      <w:pPr>
        <w:pStyle w:val="Prrafodelista"/>
        <w:numPr>
          <w:ilvl w:val="0"/>
          <w:numId w:val="1"/>
        </w:numPr>
        <w:jc w:val="both"/>
        <w:rPr>
          <w:rFonts w:ascii="Verdana" w:eastAsia="Verdana" w:hAnsi="Verdana" w:cs="Verdana"/>
          <w:sz w:val="22"/>
          <w:szCs w:val="22"/>
        </w:rPr>
      </w:pPr>
      <w:r w:rsidRPr="61113811">
        <w:rPr>
          <w:rFonts w:ascii="Verdana" w:eastAsia="Verdana" w:hAnsi="Verdana" w:cs="Verdana"/>
          <w:sz w:val="22"/>
          <w:szCs w:val="22"/>
        </w:rPr>
        <w:t>Verificar el cumplimiento de las decisiones adoptadas por el Comité.</w:t>
      </w:r>
    </w:p>
    <w:p w14:paraId="4F2AEDBF" w14:textId="3091FC3E" w:rsidR="00046C51" w:rsidRDefault="490C1ECD" w:rsidP="61113811">
      <w:pPr>
        <w:pStyle w:val="Prrafodelista"/>
        <w:numPr>
          <w:ilvl w:val="0"/>
          <w:numId w:val="1"/>
        </w:numPr>
        <w:jc w:val="both"/>
        <w:rPr>
          <w:rFonts w:ascii="Verdana" w:eastAsia="Verdana" w:hAnsi="Verdana" w:cs="Verdana"/>
          <w:sz w:val="22"/>
          <w:szCs w:val="22"/>
        </w:rPr>
      </w:pPr>
      <w:r w:rsidRPr="61113811">
        <w:rPr>
          <w:rFonts w:ascii="Verdana" w:eastAsia="Verdana" w:hAnsi="Verdana" w:cs="Verdana"/>
          <w:sz w:val="22"/>
          <w:szCs w:val="22"/>
        </w:rPr>
        <w:t xml:space="preserve">Preparar </w:t>
      </w:r>
      <w:proofErr w:type="gramStart"/>
      <w:r w:rsidRPr="61113811">
        <w:rPr>
          <w:rFonts w:ascii="Verdana" w:eastAsia="Verdana" w:hAnsi="Verdana" w:cs="Verdana"/>
          <w:sz w:val="22"/>
          <w:szCs w:val="22"/>
        </w:rPr>
        <w:t>los informe</w:t>
      </w:r>
      <w:proofErr w:type="gramEnd"/>
      <w:r w:rsidRPr="61113811">
        <w:rPr>
          <w:rFonts w:ascii="Verdana" w:eastAsia="Verdana" w:hAnsi="Verdana" w:cs="Verdana"/>
          <w:sz w:val="22"/>
          <w:szCs w:val="22"/>
        </w:rPr>
        <w:t xml:space="preserve"> del avance de la implementación de la Ley 1098 de 2006 -Código de la Infancia y la Adolescencia, que será entregado a sus integrantes.</w:t>
      </w:r>
    </w:p>
    <w:p w14:paraId="4F3B89FE" w14:textId="57248B99" w:rsidR="00046C51" w:rsidRDefault="490C1ECD" w:rsidP="61113811">
      <w:pPr>
        <w:pStyle w:val="Prrafodelista"/>
        <w:numPr>
          <w:ilvl w:val="0"/>
          <w:numId w:val="1"/>
        </w:numPr>
        <w:jc w:val="both"/>
        <w:rPr>
          <w:rFonts w:ascii="Verdana" w:eastAsia="Verdana" w:hAnsi="Verdana" w:cs="Verdana"/>
          <w:sz w:val="22"/>
          <w:szCs w:val="22"/>
        </w:rPr>
      </w:pPr>
      <w:r w:rsidRPr="61113811">
        <w:rPr>
          <w:rFonts w:ascii="Verdana" w:eastAsia="Verdana" w:hAnsi="Verdana" w:cs="Verdana"/>
          <w:sz w:val="22"/>
          <w:szCs w:val="22"/>
        </w:rPr>
        <w:t>Presidir las reuniones del Comité de seguimiento a la implementación de la Ley 1098 de 2006 -Código de la Infancia y la Adolescencia.</w:t>
      </w:r>
    </w:p>
    <w:p w14:paraId="1BE7B276" w14:textId="4B2413A3" w:rsidR="00046C51" w:rsidRDefault="490C1ECD" w:rsidP="61113811">
      <w:pPr>
        <w:pStyle w:val="Prrafodelista"/>
        <w:numPr>
          <w:ilvl w:val="0"/>
          <w:numId w:val="1"/>
        </w:numPr>
        <w:jc w:val="both"/>
        <w:rPr>
          <w:rFonts w:ascii="Verdana" w:eastAsia="Verdana" w:hAnsi="Verdana" w:cs="Verdana"/>
          <w:sz w:val="22"/>
          <w:szCs w:val="22"/>
        </w:rPr>
      </w:pPr>
      <w:r w:rsidRPr="61113811">
        <w:rPr>
          <w:rFonts w:ascii="Verdana" w:eastAsia="Verdana" w:hAnsi="Verdana" w:cs="Verdana"/>
          <w:sz w:val="22"/>
          <w:szCs w:val="22"/>
        </w:rPr>
        <w:t>Las demás que le sean asignadas por el Comité.</w:t>
      </w:r>
    </w:p>
    <w:p w14:paraId="4E4DAD54" w14:textId="2E718877" w:rsidR="00046C51" w:rsidRDefault="4F63EE51" w:rsidP="7E845136">
      <w:pPr>
        <w:jc w:val="both"/>
        <w:rPr>
          <w:rFonts w:ascii="Verdana" w:eastAsia="Verdana" w:hAnsi="Verdana" w:cs="Verdana"/>
          <w:sz w:val="22"/>
          <w:szCs w:val="22"/>
        </w:rPr>
      </w:pPr>
      <w:r w:rsidRPr="61113811">
        <w:rPr>
          <w:rFonts w:ascii="Verdana" w:eastAsia="Verdana" w:hAnsi="Verdana" w:cs="Verdana"/>
          <w:b/>
          <w:bCs/>
          <w:sz w:val="22"/>
          <w:szCs w:val="22"/>
        </w:rPr>
        <w:t>ARTÍCULO 5o. QUÓRUM</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Resolución derogada por la Resolución 1346 de 2010</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El Comité, sesionará válidamente con un mínimo de tres (3) de sus miembros y adoptará las decisiones por mayoría simple de los asistentes.</w:t>
      </w:r>
    </w:p>
    <w:p w14:paraId="51787C2E" w14:textId="39E3E397" w:rsidR="4F63EE51" w:rsidRDefault="4F63EE51" w:rsidP="61113811">
      <w:pPr>
        <w:jc w:val="both"/>
        <w:rPr>
          <w:rFonts w:ascii="Verdana" w:eastAsia="Verdana" w:hAnsi="Verdana" w:cs="Verdana"/>
          <w:sz w:val="22"/>
          <w:szCs w:val="22"/>
        </w:rPr>
      </w:pPr>
      <w:r w:rsidRPr="61113811">
        <w:rPr>
          <w:rFonts w:ascii="Verdana" w:eastAsia="Verdana" w:hAnsi="Verdana" w:cs="Verdana"/>
          <w:b/>
          <w:bCs/>
          <w:sz w:val="22"/>
          <w:szCs w:val="22"/>
        </w:rPr>
        <w:t>ARTÍCULO 6o. REUNIONES.</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Resolución derogada por la Resolución 1346 de 2010</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Artículo modificado por el artículo 1 de la Resolución 4488 de 2009.</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w:t>
      </w:r>
      <w:r w:rsidR="67AA2063" w:rsidRPr="61113811">
        <w:rPr>
          <w:rFonts w:ascii="Verdana" w:eastAsia="Verdana" w:hAnsi="Verdana" w:cs="Verdana"/>
          <w:sz w:val="22"/>
          <w:szCs w:val="22"/>
        </w:rPr>
        <w:t>El Comité se reunirá en forma ordinaria cada quince (15) días y extraordinariamente cuando así lo solicite cualquiera de sus miembros o la Secretaría Técnica.</w:t>
      </w:r>
    </w:p>
    <w:p w14:paraId="20A903D4" w14:textId="0A0329B1" w:rsidR="00046C51" w:rsidRDefault="4F63EE51" w:rsidP="7E845136">
      <w:pPr>
        <w:jc w:val="both"/>
        <w:rPr>
          <w:rFonts w:ascii="Verdana" w:eastAsia="Verdana" w:hAnsi="Verdana" w:cs="Verdana"/>
          <w:sz w:val="22"/>
          <w:szCs w:val="22"/>
        </w:rPr>
      </w:pPr>
      <w:r w:rsidRPr="61113811">
        <w:rPr>
          <w:rFonts w:ascii="Verdana" w:eastAsia="Verdana" w:hAnsi="Verdana" w:cs="Verdana"/>
          <w:b/>
          <w:bCs/>
          <w:sz w:val="22"/>
          <w:szCs w:val="22"/>
        </w:rPr>
        <w:t>ARTÍCULO 7o. VIGENCIA.</w:t>
      </w:r>
      <w:r w:rsidRPr="61113811">
        <w:rPr>
          <w:rFonts w:ascii="Verdana" w:eastAsia="Verdana" w:hAnsi="Verdana" w:cs="Verdana"/>
          <w:sz w:val="22"/>
          <w:szCs w:val="22"/>
        </w:rPr>
        <w:t xml:space="preserve"> </w:t>
      </w:r>
      <w:r w:rsidR="7BD5EDC1" w:rsidRPr="61113811">
        <w:rPr>
          <w:rFonts w:ascii="Verdana" w:eastAsia="Verdana" w:hAnsi="Verdana" w:cs="Verdana"/>
          <w:sz w:val="22"/>
          <w:szCs w:val="22"/>
        </w:rPr>
        <w:t>[</w:t>
      </w:r>
      <w:r w:rsidRPr="61113811">
        <w:rPr>
          <w:rFonts w:ascii="Verdana" w:eastAsia="Verdana" w:hAnsi="Verdana" w:cs="Verdana"/>
          <w:sz w:val="22"/>
          <w:szCs w:val="22"/>
        </w:rPr>
        <w:t>Resolución derogada por la Resolución 1346 de 2010</w:t>
      </w:r>
      <w:r w:rsidR="257D00B4" w:rsidRPr="61113811">
        <w:rPr>
          <w:rFonts w:ascii="Verdana" w:eastAsia="Verdana" w:hAnsi="Verdana" w:cs="Verdana"/>
          <w:sz w:val="22"/>
          <w:szCs w:val="22"/>
        </w:rPr>
        <w:t>]</w:t>
      </w:r>
      <w:r w:rsidRPr="61113811">
        <w:rPr>
          <w:rFonts w:ascii="Verdana" w:eastAsia="Verdana" w:hAnsi="Verdana" w:cs="Verdana"/>
          <w:sz w:val="22"/>
          <w:szCs w:val="22"/>
        </w:rPr>
        <w:t xml:space="preserve"> La presente resolución rige a partir de la fecha de su expedición.</w:t>
      </w:r>
    </w:p>
    <w:p w14:paraId="05DD8E16" w14:textId="11324563" w:rsidR="00046C51" w:rsidRDefault="4F63EE51" w:rsidP="61113811">
      <w:pPr>
        <w:jc w:val="center"/>
        <w:rPr>
          <w:rFonts w:ascii="Verdana" w:eastAsia="Verdana" w:hAnsi="Verdana" w:cs="Verdana"/>
          <w:b/>
          <w:bCs/>
          <w:sz w:val="22"/>
          <w:szCs w:val="22"/>
        </w:rPr>
      </w:pPr>
      <w:r w:rsidRPr="61113811">
        <w:rPr>
          <w:rFonts w:ascii="Verdana" w:eastAsia="Verdana" w:hAnsi="Verdana" w:cs="Verdana"/>
          <w:b/>
          <w:bCs/>
          <w:sz w:val="22"/>
          <w:szCs w:val="22"/>
        </w:rPr>
        <w:t>COMUNÍQUESE Y CÚMPLASE</w:t>
      </w:r>
      <w:r w:rsidR="5EA3068B" w:rsidRPr="61113811">
        <w:rPr>
          <w:rFonts w:ascii="Verdana" w:eastAsia="Verdana" w:hAnsi="Verdana" w:cs="Verdana"/>
          <w:b/>
          <w:bCs/>
          <w:sz w:val="22"/>
          <w:szCs w:val="22"/>
        </w:rPr>
        <w:t>,</w:t>
      </w:r>
    </w:p>
    <w:p w14:paraId="30D52D43" w14:textId="2B6B83C9" w:rsidR="00046C51" w:rsidRDefault="4F63EE51" w:rsidP="61113811">
      <w:pPr>
        <w:jc w:val="center"/>
        <w:rPr>
          <w:rFonts w:ascii="Verdana" w:eastAsia="Verdana" w:hAnsi="Verdana" w:cs="Verdana"/>
          <w:sz w:val="22"/>
          <w:szCs w:val="22"/>
        </w:rPr>
      </w:pPr>
      <w:r w:rsidRPr="61113811">
        <w:rPr>
          <w:rFonts w:ascii="Verdana" w:eastAsia="Verdana" w:hAnsi="Verdana" w:cs="Verdana"/>
          <w:sz w:val="22"/>
          <w:szCs w:val="22"/>
        </w:rPr>
        <w:t>Dada en Bogotá D. C. a los 20 días del mes de junio de 2007</w:t>
      </w:r>
    </w:p>
    <w:p w14:paraId="0EDCAFE4" w14:textId="6494E429" w:rsidR="00046C51" w:rsidRDefault="4F63EE51" w:rsidP="61113811">
      <w:pPr>
        <w:jc w:val="center"/>
        <w:rPr>
          <w:rFonts w:ascii="Verdana" w:eastAsia="Verdana" w:hAnsi="Verdana" w:cs="Verdana"/>
          <w:b/>
          <w:bCs/>
          <w:sz w:val="22"/>
          <w:szCs w:val="22"/>
        </w:rPr>
      </w:pPr>
      <w:r w:rsidRPr="61113811">
        <w:rPr>
          <w:rFonts w:ascii="Verdana" w:eastAsia="Verdana" w:hAnsi="Verdana" w:cs="Verdana"/>
          <w:b/>
          <w:bCs/>
          <w:sz w:val="22"/>
          <w:szCs w:val="22"/>
        </w:rPr>
        <w:t>ELVIRA FORERO HERNÁNDEZ</w:t>
      </w:r>
    </w:p>
    <w:p w14:paraId="5F5443C9" w14:textId="3448E40B" w:rsidR="00046C51" w:rsidRDefault="4F63EE51" w:rsidP="61113811">
      <w:pPr>
        <w:jc w:val="center"/>
        <w:rPr>
          <w:rFonts w:ascii="Verdana" w:eastAsia="Verdana" w:hAnsi="Verdana" w:cs="Verdana"/>
          <w:sz w:val="22"/>
          <w:szCs w:val="22"/>
        </w:rPr>
      </w:pPr>
      <w:r w:rsidRPr="61113811">
        <w:rPr>
          <w:rFonts w:ascii="Verdana" w:eastAsia="Verdana" w:hAnsi="Verdana" w:cs="Verdana"/>
          <w:sz w:val="22"/>
          <w:szCs w:val="22"/>
        </w:rPr>
        <w:t>DIRECTORA</w:t>
      </w:r>
    </w:p>
    <w:p w14:paraId="5C1A07E2" w14:textId="22A7C6A3" w:rsidR="00046C51" w:rsidRDefault="00046C51" w:rsidP="7E845136">
      <w:pPr>
        <w:jc w:val="both"/>
        <w:rPr>
          <w:rFonts w:ascii="Verdana" w:eastAsia="Verdana" w:hAnsi="Verdana" w:cs="Verdana"/>
          <w:sz w:val="22"/>
          <w:szCs w:val="22"/>
        </w:rPr>
      </w:pPr>
    </w:p>
    <w:sectPr w:rsidR="00046C5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32421"/>
    <w:multiLevelType w:val="multilevel"/>
    <w:tmpl w:val="557041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367303C5"/>
    <w:multiLevelType w:val="multilevel"/>
    <w:tmpl w:val="F0E8B9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6A6D417B"/>
    <w:multiLevelType w:val="multilevel"/>
    <w:tmpl w:val="7F4CFB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7EC68705"/>
    <w:multiLevelType w:val="multilevel"/>
    <w:tmpl w:val="514C58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159230791">
    <w:abstractNumId w:val="0"/>
  </w:num>
  <w:num w:numId="2" w16cid:durableId="2142376503">
    <w:abstractNumId w:val="3"/>
  </w:num>
  <w:num w:numId="3" w16cid:durableId="1246915198">
    <w:abstractNumId w:val="1"/>
  </w:num>
  <w:num w:numId="4" w16cid:durableId="571046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2402A3"/>
    <w:rsid w:val="00046C51"/>
    <w:rsid w:val="00104CE8"/>
    <w:rsid w:val="005F6242"/>
    <w:rsid w:val="00CD2CD9"/>
    <w:rsid w:val="00D243C1"/>
    <w:rsid w:val="0B4F4655"/>
    <w:rsid w:val="0DED6B86"/>
    <w:rsid w:val="1666F2AE"/>
    <w:rsid w:val="16B19516"/>
    <w:rsid w:val="1CE7CD75"/>
    <w:rsid w:val="1F23E884"/>
    <w:rsid w:val="237B83BF"/>
    <w:rsid w:val="24DF2D6A"/>
    <w:rsid w:val="257D00B4"/>
    <w:rsid w:val="299A51BC"/>
    <w:rsid w:val="2D4F9566"/>
    <w:rsid w:val="2E624AFA"/>
    <w:rsid w:val="2ED611C7"/>
    <w:rsid w:val="30E137B8"/>
    <w:rsid w:val="345E92CC"/>
    <w:rsid w:val="34A7784E"/>
    <w:rsid w:val="3A6EF221"/>
    <w:rsid w:val="3EB52E72"/>
    <w:rsid w:val="407ACB1F"/>
    <w:rsid w:val="452402A3"/>
    <w:rsid w:val="490C1ECD"/>
    <w:rsid w:val="4E15048C"/>
    <w:rsid w:val="4F63EE51"/>
    <w:rsid w:val="508EA290"/>
    <w:rsid w:val="53864273"/>
    <w:rsid w:val="54661CAB"/>
    <w:rsid w:val="55AE48C8"/>
    <w:rsid w:val="588993B3"/>
    <w:rsid w:val="5EA3068B"/>
    <w:rsid w:val="60444FEE"/>
    <w:rsid w:val="61113811"/>
    <w:rsid w:val="6153130C"/>
    <w:rsid w:val="61DB717F"/>
    <w:rsid w:val="61DD36F0"/>
    <w:rsid w:val="625F0E3A"/>
    <w:rsid w:val="62CE1EF7"/>
    <w:rsid w:val="6542AED4"/>
    <w:rsid w:val="67630AD1"/>
    <w:rsid w:val="67AA2063"/>
    <w:rsid w:val="708A359B"/>
    <w:rsid w:val="711B2810"/>
    <w:rsid w:val="71FB1318"/>
    <w:rsid w:val="73FCDD87"/>
    <w:rsid w:val="771855B8"/>
    <w:rsid w:val="7BD5EDC1"/>
    <w:rsid w:val="7E845136"/>
    <w:rsid w:val="7FCAD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02A3"/>
  <w15:chartTrackingRefBased/>
  <w15:docId w15:val="{4524912B-FA83-4536-87E3-8F4AAC63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61113811"/>
    <w:pPr>
      <w:ind w:left="720"/>
      <w:contextualSpacing/>
    </w:pPr>
  </w:style>
  <w:style w:type="paragraph" w:styleId="Sinespaciado">
    <w:name w:val="No Spacing"/>
    <w:uiPriority w:val="1"/>
    <w:qFormat/>
    <w:rsid w:val="00104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476D9-6B38-4FE2-A3C6-401F6D04AFF0}"/>
</file>

<file path=customXml/itemProps2.xml><?xml version="1.0" encoding="utf-8"?>
<ds:datastoreItem xmlns:ds="http://schemas.openxmlformats.org/officeDocument/2006/customXml" ds:itemID="{251FC29E-3579-4E32-AA25-9ADF80B1C0C3}"/>
</file>

<file path=customXml/itemProps3.xml><?xml version="1.0" encoding="utf-8"?>
<ds:datastoreItem xmlns:ds="http://schemas.openxmlformats.org/officeDocument/2006/customXml" ds:itemID="{9F168CFD-4B5F-46F2-87E1-B29E15DF323B}"/>
</file>

<file path=docProps/app.xml><?xml version="1.0" encoding="utf-8"?>
<Properties xmlns="http://schemas.openxmlformats.org/officeDocument/2006/extended-properties" xmlns:vt="http://schemas.openxmlformats.org/officeDocument/2006/docPropsVTypes">
  <Template>Normal</Template>
  <TotalTime>1</TotalTime>
  <Pages>1</Pages>
  <Words>1026</Words>
  <Characters>5285</Characters>
  <Application>Microsoft Office Word</Application>
  <DocSecurity>0</DocSecurity>
  <Lines>110</Lines>
  <Paragraphs>61</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2025-12-01T14:21:00Z</dcterms:created>
  <dcterms:modified xsi:type="dcterms:W3CDTF">2026-01-22T19:24:00Z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