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68A3" w14:textId="77777777" w:rsidR="00F800E0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1300 DE 2010</w:t>
      </w:r>
    </w:p>
    <w:p w14:paraId="247F144D" w14:textId="77777777" w:rsidR="00F800E0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19 de marzo de 2010</w:t>
      </w:r>
    </w:p>
    <w:p w14:paraId="3A3A94B5" w14:textId="77777777" w:rsidR="00F800E0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6 de abril de 2010</w:t>
      </w:r>
    </w:p>
    <w:p w14:paraId="7467A936" w14:textId="2C480900" w:rsidR="00F800E0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Derogada por la </w:t>
      </w:r>
      <w:r>
        <w:rPr>
          <w:rFonts w:ascii="Verdana" w:eastAsia="Verdana" w:hAnsi="Verdana" w:cs="Verdana"/>
          <w:highlight w:val="white"/>
        </w:rPr>
        <w:t xml:space="preserve">resolución 177 de 2010 derogada por el artículo </w:t>
      </w:r>
      <w:r w:rsidR="00F800E0">
        <w:rPr>
          <w:rFonts w:ascii="Verdana" w:eastAsia="Verdana" w:hAnsi="Verdana" w:cs="Verdana"/>
          <w:highlight w:val="white"/>
        </w:rPr>
        <w:t>23</w:t>
      </w:r>
      <w:r>
        <w:rPr>
          <w:rFonts w:ascii="Verdana" w:eastAsia="Verdana" w:hAnsi="Verdana" w:cs="Verdana"/>
          <w:highlight w:val="white"/>
        </w:rPr>
        <w:t xml:space="preserve"> de la Resolución 292 de 2011</w:t>
      </w:r>
    </w:p>
    <w:p w14:paraId="47D36511" w14:textId="77777777" w:rsidR="00F800E0" w:rsidRDefault="00F800E0">
      <w:pPr>
        <w:spacing w:line="240" w:lineRule="auto"/>
        <w:rPr>
          <w:rFonts w:ascii="Verdana" w:eastAsia="Verdana" w:hAnsi="Verdana" w:cs="Verdana"/>
        </w:rPr>
      </w:pPr>
    </w:p>
    <w:p w14:paraId="13D91F1C" w14:textId="77777777" w:rsidR="00F800E0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Oficial:6 de abril de 2010</w:t>
      </w:r>
    </w:p>
    <w:p w14:paraId="0B8B3829" w14:textId="77777777" w:rsidR="00F800E0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>No. 47.672</w:t>
      </w:r>
    </w:p>
    <w:p w14:paraId="76F63F34" w14:textId="77777777" w:rsidR="00F800E0" w:rsidRDefault="00F800E0">
      <w:pPr>
        <w:spacing w:line="240" w:lineRule="auto"/>
        <w:rPr>
          <w:rFonts w:ascii="Verdana" w:eastAsia="Verdana" w:hAnsi="Verdana" w:cs="Verdana"/>
        </w:rPr>
      </w:pPr>
    </w:p>
    <w:p w14:paraId="5FE3A493" w14:textId="77777777" w:rsidR="00F800E0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1300 DE 2010</w:t>
      </w:r>
    </w:p>
    <w:p w14:paraId="3B2D90D1" w14:textId="77777777" w:rsidR="00F800E0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(19 de marzo)</w:t>
      </w:r>
    </w:p>
    <w:p w14:paraId="5E196D9A" w14:textId="77777777" w:rsidR="00F800E0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108E9852" w14:textId="53FC326A" w:rsidR="00F800E0" w:rsidRDefault="00000000">
      <w:pPr>
        <w:spacing w:line="240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“Por la cual se adiciona la Resolución número </w:t>
      </w:r>
      <w:r w:rsidR="00F800E0">
        <w:rPr>
          <w:rFonts w:ascii="Verdana" w:eastAsia="Verdana" w:hAnsi="Verdana" w:cs="Verdana"/>
          <w:highlight w:val="white"/>
        </w:rPr>
        <w:t>177</w:t>
      </w:r>
      <w:r>
        <w:rPr>
          <w:rFonts w:ascii="Verdana" w:eastAsia="Verdana" w:hAnsi="Verdana" w:cs="Verdana"/>
          <w:highlight w:val="white"/>
        </w:rPr>
        <w:t xml:space="preserve"> del 20 de enero de 2010”.</w:t>
      </w:r>
    </w:p>
    <w:p w14:paraId="4976406E" w14:textId="77777777" w:rsidR="00F800E0" w:rsidRDefault="00F800E0">
      <w:pPr>
        <w:spacing w:line="240" w:lineRule="auto"/>
        <w:jc w:val="center"/>
        <w:rPr>
          <w:rFonts w:ascii="Verdana" w:eastAsia="Verdana" w:hAnsi="Verdana" w:cs="Verdana"/>
          <w:highlight w:val="white"/>
        </w:rPr>
      </w:pPr>
    </w:p>
    <w:p w14:paraId="5892901B" w14:textId="77777777" w:rsidR="00F800E0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9AF34FA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 y,</w:t>
      </w:r>
    </w:p>
    <w:p w14:paraId="21901425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2F618132" w14:textId="2EF7698B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número </w:t>
      </w:r>
      <w:r w:rsidR="00F800E0">
        <w:rPr>
          <w:rFonts w:ascii="Verdana" w:eastAsia="Verdana" w:hAnsi="Verdana" w:cs="Verdana"/>
        </w:rPr>
        <w:t>001</w:t>
      </w:r>
      <w:r>
        <w:rPr>
          <w:rFonts w:ascii="Verdana" w:eastAsia="Verdana" w:hAnsi="Verdana" w:cs="Verdana"/>
        </w:rPr>
        <w:t xml:space="preserve"> del 4 de enero de 2010 expedida por el Ministerio de Hacienda y Crédito Público, Dirección General del Presupuesto Público Nacional, se reglamentó la constitución y el funcionamiento de las </w:t>
      </w:r>
      <w:r>
        <w:rPr>
          <w:rFonts w:ascii="Verdana" w:eastAsia="Verdana" w:hAnsi="Verdana" w:cs="Verdana"/>
          <w:i/>
          <w:iCs/>
        </w:rPr>
        <w:t xml:space="preserve">Cajas Menores </w:t>
      </w:r>
      <w:r>
        <w:rPr>
          <w:rFonts w:ascii="Verdana" w:eastAsia="Verdana" w:hAnsi="Verdana" w:cs="Verdana"/>
        </w:rPr>
        <w:t>para la presente vigencia.</w:t>
      </w:r>
    </w:p>
    <w:p w14:paraId="4AA62604" w14:textId="4BE2710C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desarrollo de la citada resolución, el ICBF expidió la Resolución número </w:t>
      </w:r>
      <w:r w:rsidR="00F800E0">
        <w:rPr>
          <w:rFonts w:ascii="Verdana" w:eastAsia="Verdana" w:hAnsi="Verdana" w:cs="Verdana"/>
        </w:rPr>
        <w:t>177</w:t>
      </w:r>
      <w:r>
        <w:rPr>
          <w:rFonts w:ascii="Verdana" w:eastAsia="Verdana" w:hAnsi="Verdana" w:cs="Verdana"/>
        </w:rPr>
        <w:t xml:space="preserve"> de 20 de enero de 2010, mediante la cual delegó una facultad y dictó las normas internas para la constitución, manejo y funcionamiento de las Cajas Menores de la Sede Nacional, Regionales y Seccionales para la vigencia 2010.</w:t>
      </w:r>
    </w:p>
    <w:p w14:paraId="630D52E6" w14:textId="7F368F30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se hace necesario aprobar las cuantías de unas cajas menores que no fueron relacionadas en la Resolución número </w:t>
      </w:r>
      <w:r w:rsidR="00F800E0">
        <w:rPr>
          <w:rFonts w:ascii="Verdana" w:eastAsia="Verdana" w:hAnsi="Verdana" w:cs="Verdana"/>
        </w:rPr>
        <w:t>177</w:t>
      </w:r>
      <w:r>
        <w:rPr>
          <w:rFonts w:ascii="Verdana" w:eastAsia="Verdana" w:hAnsi="Verdana" w:cs="Verdana"/>
        </w:rPr>
        <w:t xml:space="preserve"> de 20 de enero de 2010 y autorizar a la Regional Boyacá para constituirlas.</w:t>
      </w:r>
    </w:p>
    <w:p w14:paraId="11322D88" w14:textId="77777777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4D096411" w14:textId="77777777" w:rsidR="00F800E0" w:rsidRDefault="00F800E0">
      <w:pPr>
        <w:spacing w:after="280" w:line="426" w:lineRule="auto"/>
        <w:jc w:val="both"/>
        <w:rPr>
          <w:rFonts w:ascii="Verdana" w:eastAsia="Verdana" w:hAnsi="Verdana" w:cs="Verdana"/>
        </w:rPr>
      </w:pPr>
    </w:p>
    <w:p w14:paraId="7C50B9B6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RESUELVE:</w:t>
      </w:r>
    </w:p>
    <w:p w14:paraId="3FF17DA5" w14:textId="4912AD82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</w:t>
      </w:r>
      <w:r>
        <w:rPr>
          <w:rFonts w:ascii="Verdana" w:eastAsia="Verdana" w:hAnsi="Verdana" w:cs="Verdana"/>
        </w:rPr>
        <w:t xml:space="preserve"> Adicionar al artículo </w:t>
      </w:r>
      <w:r w:rsidR="00F800E0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o de la Resolución número 177 de 20 de enero de 2010 las siguientes cuantías aprobadas para la constitución de las respectivas Cajas Menores:</w:t>
      </w:r>
    </w:p>
    <w:p w14:paraId="2E6DE69A" w14:textId="77777777" w:rsidR="00F800E0" w:rsidRDefault="00F800E0">
      <w:pPr>
        <w:spacing w:line="426" w:lineRule="auto"/>
        <w:jc w:val="both"/>
        <w:rPr>
          <w:rFonts w:ascii="Verdana" w:eastAsia="Verdana" w:hAnsi="Verdana" w:cs="Verdana"/>
        </w:rPr>
      </w:pPr>
    </w:p>
    <w:tbl>
      <w:tblPr>
        <w:tblStyle w:val="a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1470"/>
        <w:gridCol w:w="1815"/>
        <w:gridCol w:w="1875"/>
      </w:tblGrid>
      <w:tr w:rsidR="00F800E0" w:rsidRPr="008258A0" w14:paraId="00847DDC" w14:textId="77777777">
        <w:trPr>
          <w:trHeight w:val="81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47C9C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D3E44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REGIONAL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AAF7E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ÁREA RESPONSABLE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B20C1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TOPE MÁXIMO DE CONSTITUCIÓN</w:t>
            </w:r>
          </w:p>
        </w:tc>
      </w:tr>
      <w:tr w:rsidR="00F800E0" w:rsidRPr="008258A0" w14:paraId="606E9A36" w14:textId="77777777">
        <w:trPr>
          <w:trHeight w:val="54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0A0E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7B093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DD596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SOGAMOSO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7C1B2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2.245.000</w:t>
            </w:r>
          </w:p>
        </w:tc>
      </w:tr>
      <w:tr w:rsidR="00F800E0" w:rsidRPr="008258A0" w14:paraId="3501A708" w14:textId="77777777">
        <w:trPr>
          <w:trHeight w:val="27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EED93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CDFB7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F5BFA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DUITAMA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86042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2.245.000</w:t>
            </w:r>
          </w:p>
        </w:tc>
      </w:tr>
      <w:tr w:rsidR="00F800E0" w:rsidRPr="008258A0" w14:paraId="4B353FAB" w14:textId="77777777">
        <w:trPr>
          <w:trHeight w:val="27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1BCD8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66343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AF567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GARAGOA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55831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2.245.000</w:t>
            </w:r>
          </w:p>
        </w:tc>
      </w:tr>
      <w:tr w:rsidR="00F800E0" w:rsidRPr="008258A0" w14:paraId="25B19FB3" w14:textId="77777777">
        <w:trPr>
          <w:trHeight w:val="27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8644D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CCE5E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5B14F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TUNJA 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FF046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2.245.000</w:t>
            </w:r>
          </w:p>
        </w:tc>
      </w:tr>
      <w:tr w:rsidR="00F800E0" w:rsidRPr="008258A0" w14:paraId="50CCE6C0" w14:textId="77777777">
        <w:trPr>
          <w:trHeight w:val="54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849A8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E6B47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653F1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PUERTO BOYACÁ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F1386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1.530.000</w:t>
            </w:r>
          </w:p>
        </w:tc>
      </w:tr>
      <w:tr w:rsidR="00F800E0" w:rsidRPr="008258A0" w14:paraId="0917295C" w14:textId="77777777">
        <w:trPr>
          <w:trHeight w:val="27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D433E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98626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Boyacá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C5DD6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C.Z. OTANCHE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8A24C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sz w:val="18"/>
                <w:szCs w:val="18"/>
              </w:rPr>
              <w:t>1.732.000</w:t>
            </w:r>
          </w:p>
        </w:tc>
      </w:tr>
      <w:tr w:rsidR="00F800E0" w:rsidRPr="008258A0" w14:paraId="59FA694E" w14:textId="77777777">
        <w:trPr>
          <w:trHeight w:val="270"/>
        </w:trPr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A698A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TOTAL </w:t>
            </w:r>
            <w:r w:rsidRPr="008258A0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FB909" w14:textId="77777777" w:rsidR="00F800E0" w:rsidRPr="008258A0" w:rsidRDefault="00000000">
            <w:pPr>
              <w:spacing w:before="240" w:after="240" w:line="426" w:lineRule="auto"/>
              <w:jc w:val="both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8258A0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12.242.000</w:t>
            </w:r>
          </w:p>
        </w:tc>
      </w:tr>
    </w:tbl>
    <w:p w14:paraId="76A6C9C6" w14:textId="77777777" w:rsidR="00F800E0" w:rsidRDefault="00F800E0">
      <w:pPr>
        <w:spacing w:line="426" w:lineRule="auto"/>
        <w:jc w:val="both"/>
        <w:rPr>
          <w:rFonts w:ascii="Verdana" w:eastAsia="Verdana" w:hAnsi="Verdana" w:cs="Verdana"/>
        </w:rPr>
      </w:pPr>
    </w:p>
    <w:p w14:paraId="7797951B" w14:textId="2F2D4FC9" w:rsidR="00F800E0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VIGENCIA. </w:t>
      </w:r>
      <w:r w:rsidR="008258A0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177 de 2010 derogada por el artículo </w:t>
      </w:r>
      <w:r w:rsidR="00F800E0">
        <w:rPr>
          <w:rFonts w:ascii="Verdana" w:eastAsia="Verdana" w:hAnsi="Verdana" w:cs="Verdana"/>
        </w:rPr>
        <w:t>23</w:t>
      </w:r>
      <w:r>
        <w:rPr>
          <w:rFonts w:ascii="Verdana" w:eastAsia="Verdana" w:hAnsi="Verdana" w:cs="Verdana"/>
        </w:rPr>
        <w:t xml:space="preserve"> de la Resolución 292 de 2011</w:t>
      </w:r>
      <w:r w:rsidR="008258A0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publicación y adiciona el artículo </w:t>
      </w:r>
      <w:r w:rsidR="00F800E0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o de la Resolución número 177 del 20 de enero de 2010.</w:t>
      </w:r>
    </w:p>
    <w:p w14:paraId="0D402778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 Y CÚMPLASE</w:t>
      </w:r>
    </w:p>
    <w:p w14:paraId="7136E767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Dada en Bogotá D. C., a 19 días de marzo de 2010.</w:t>
      </w:r>
    </w:p>
    <w:p w14:paraId="62585F30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HERNÁNDEZ.</w:t>
      </w:r>
    </w:p>
    <w:p w14:paraId="7348AF8B" w14:textId="77777777" w:rsidR="00F800E0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4683520B" w14:textId="77777777" w:rsidR="00F800E0" w:rsidRDefault="00F800E0">
      <w:pPr>
        <w:spacing w:after="280" w:line="426" w:lineRule="auto"/>
        <w:jc w:val="center"/>
        <w:rPr>
          <w:rFonts w:ascii="Verdana" w:eastAsia="Verdana" w:hAnsi="Verdana" w:cs="Verdana"/>
        </w:rPr>
      </w:pPr>
    </w:p>
    <w:p w14:paraId="36EF553A" w14:textId="77777777" w:rsidR="00F800E0" w:rsidRDefault="00F800E0"/>
    <w:sectPr w:rsidR="00F800E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6ECA931-343C-402D-B6CE-8CE8A397BEE1}"/>
    <w:embedBold r:id="rId2" w:fontKey="{7CFEF75E-19C4-462F-B19B-75F0A0D7085D}"/>
    <w:embedItalic r:id="rId3" w:fontKey="{6CBD3FCD-6265-4A1E-98DF-E93CC2E23B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C34325-6E07-41B2-9706-4296C39CC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1249ED-184A-4B49-A702-F1C182020E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0E0"/>
    <w:rsid w:val="002D43F1"/>
    <w:rsid w:val="0053649D"/>
    <w:rsid w:val="008258A0"/>
    <w:rsid w:val="00DF2BD9"/>
    <w:rsid w:val="00F8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907E"/>
  <w15:docId w15:val="{4BEE26B3-94DD-4052-A481-D20D0D02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077C84-9148-4721-B925-795DE4C54584}"/>
</file>

<file path=customXml/itemProps2.xml><?xml version="1.0" encoding="utf-8"?>
<ds:datastoreItem xmlns:ds="http://schemas.openxmlformats.org/officeDocument/2006/customXml" ds:itemID="{65FF41B4-C685-41E0-B64F-4255DA49E422}"/>
</file>

<file path=customXml/itemProps3.xml><?xml version="1.0" encoding="utf-8"?>
<ds:datastoreItem xmlns:ds="http://schemas.openxmlformats.org/officeDocument/2006/customXml" ds:itemID="{6D116CE3-E2C8-4E79-84A6-22D4F0086E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2026-01-28T15:42:00Z</dcterms:created>
  <dcterms:modified xsi:type="dcterms:W3CDTF">2026-04-15T15:52:00Z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