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2B478DA3"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E96AE6">
        <w:rPr>
          <w:rFonts w:ascii="Verdana" w:hAnsi="Verdana"/>
          <w:b/>
          <w:bCs/>
          <w:sz w:val="22"/>
          <w:szCs w:val="22"/>
        </w:rPr>
        <w:t>130</w:t>
      </w:r>
      <w:r w:rsidR="00E96AE6"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2DD6A8B8"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E96AE6">
        <w:rPr>
          <w:rFonts w:ascii="Verdana" w:hAnsi="Verdana"/>
          <w:sz w:val="20"/>
          <w:szCs w:val="20"/>
        </w:rPr>
        <w:t>1</w:t>
      </w:r>
      <w:r w:rsidR="005D5138">
        <w:rPr>
          <w:rFonts w:ascii="Verdana" w:hAnsi="Verdana"/>
          <w:sz w:val="20"/>
          <w:szCs w:val="20"/>
        </w:rPr>
        <w:t>9</w:t>
      </w:r>
      <w:r w:rsidRPr="00251F6B">
        <w:rPr>
          <w:rFonts w:ascii="Verdana" w:hAnsi="Verdana"/>
          <w:sz w:val="20"/>
          <w:szCs w:val="20"/>
        </w:rPr>
        <w:t xml:space="preserve"> de </w:t>
      </w:r>
      <w:r w:rsidR="00043942" w:rsidRPr="00251F6B">
        <w:rPr>
          <w:rFonts w:ascii="Verdana" w:hAnsi="Verdana"/>
          <w:sz w:val="20"/>
          <w:szCs w:val="20"/>
        </w:rPr>
        <w:t>enero</w:t>
      </w:r>
      <w:r w:rsidRPr="00251F6B">
        <w:rPr>
          <w:rFonts w:ascii="Verdana" w:hAnsi="Verdana"/>
          <w:sz w:val="20"/>
          <w:szCs w:val="20"/>
        </w:rPr>
        <w:t xml:space="preserve"> de 20</w:t>
      </w:r>
      <w:r w:rsidR="00D5214B">
        <w:rPr>
          <w:rFonts w:ascii="Verdana" w:hAnsi="Verdana"/>
          <w:sz w:val="20"/>
          <w:szCs w:val="20"/>
        </w:rPr>
        <w:t>2</w:t>
      </w:r>
      <w:r w:rsidR="000D6943">
        <w:rPr>
          <w:rFonts w:ascii="Verdana" w:hAnsi="Verdana"/>
          <w:sz w:val="20"/>
          <w:szCs w:val="20"/>
        </w:rPr>
        <w:t>4</w:t>
      </w:r>
    </w:p>
    <w:p w14:paraId="3C8362D2" w14:textId="1F136FBD"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 xml:space="preserve">: </w:t>
      </w:r>
      <w:r w:rsidR="00E96AE6">
        <w:rPr>
          <w:rFonts w:ascii="Verdana" w:hAnsi="Verdana"/>
          <w:sz w:val="20"/>
          <w:szCs w:val="20"/>
        </w:rPr>
        <w:t>1</w:t>
      </w:r>
      <w:r w:rsidR="000D6943">
        <w:rPr>
          <w:rFonts w:ascii="Verdana" w:hAnsi="Verdana"/>
          <w:sz w:val="20"/>
          <w:szCs w:val="20"/>
        </w:rPr>
        <w:t>9 de enero de 2024</w:t>
      </w:r>
    </w:p>
    <w:p w14:paraId="1772F951" w14:textId="1FC491FC"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4600F2">
        <w:rPr>
          <w:rFonts w:ascii="Verdana" w:hAnsi="Verdana"/>
          <w:sz w:val="20"/>
          <w:szCs w:val="20"/>
        </w:rPr>
        <w:t xml:space="preserve">vigente </w:t>
      </w:r>
    </w:p>
    <w:p w14:paraId="30D368E6" w14:textId="77777777" w:rsidR="006D1939" w:rsidRPr="00251F6B" w:rsidRDefault="006D1939" w:rsidP="006D1939">
      <w:pPr>
        <w:rPr>
          <w:rFonts w:ascii="Verdana" w:hAnsi="Verdana"/>
          <w:sz w:val="20"/>
          <w:szCs w:val="20"/>
        </w:rPr>
      </w:pPr>
    </w:p>
    <w:p w14:paraId="396C1C8B" w14:textId="4792638E"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038FC3F0" w14:textId="72EEBB28" w:rsidR="006D1939"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p>
    <w:p w14:paraId="79E929F8" w14:textId="27D6BFCC" w:rsidR="000D0BEE" w:rsidRPr="00251F6B" w:rsidRDefault="000D0BEE" w:rsidP="006D1939">
      <w:pPr>
        <w:rPr>
          <w:rFonts w:ascii="Verdana" w:hAnsi="Verdana"/>
          <w:sz w:val="20"/>
          <w:szCs w:val="20"/>
        </w:rPr>
      </w:pPr>
      <w:r>
        <w:rPr>
          <w:rFonts w:ascii="Verdana" w:hAnsi="Verdana"/>
          <w:sz w:val="20"/>
          <w:szCs w:val="20"/>
        </w:rPr>
        <w:t xml:space="preserve">Notas: </w:t>
      </w:r>
      <w:r w:rsidRPr="000D0BEE">
        <w:rPr>
          <w:rFonts w:ascii="Verdana" w:hAnsi="Verdana"/>
          <w:sz w:val="20"/>
          <w:szCs w:val="20"/>
        </w:rPr>
        <w:t xml:space="preserve">Modificada </w:t>
      </w:r>
      <w:r>
        <w:rPr>
          <w:rFonts w:ascii="Verdana" w:hAnsi="Verdana"/>
          <w:sz w:val="20"/>
          <w:szCs w:val="20"/>
        </w:rPr>
        <w:t>p</w:t>
      </w:r>
      <w:r w:rsidRPr="000D0BEE">
        <w:rPr>
          <w:rFonts w:ascii="Verdana" w:hAnsi="Verdana"/>
          <w:sz w:val="20"/>
          <w:szCs w:val="20"/>
        </w:rPr>
        <w:t xml:space="preserve">or </w:t>
      </w:r>
      <w:r>
        <w:rPr>
          <w:rFonts w:ascii="Verdana" w:hAnsi="Verdana"/>
          <w:sz w:val="20"/>
          <w:szCs w:val="20"/>
        </w:rPr>
        <w:t>l</w:t>
      </w:r>
      <w:r w:rsidRPr="000D0BEE">
        <w:rPr>
          <w:rFonts w:ascii="Verdana" w:hAnsi="Verdana"/>
          <w:sz w:val="20"/>
          <w:szCs w:val="20"/>
        </w:rPr>
        <w:t>a Resolución 1862 De 2024</w:t>
      </w:r>
      <w:r>
        <w:rPr>
          <w:rFonts w:ascii="Verdana" w:hAnsi="Verdana"/>
          <w:sz w:val="20"/>
          <w:szCs w:val="20"/>
        </w:rPr>
        <w:t xml:space="preserve">, la </w:t>
      </w:r>
      <w:r w:rsidRPr="000D0BEE">
        <w:rPr>
          <w:rFonts w:ascii="Verdana" w:hAnsi="Verdana"/>
          <w:sz w:val="20"/>
          <w:szCs w:val="20"/>
        </w:rPr>
        <w:t>Resolución 2442 De 2024</w:t>
      </w:r>
      <w:r>
        <w:rPr>
          <w:rFonts w:ascii="Verdana" w:hAnsi="Verdana"/>
          <w:sz w:val="20"/>
          <w:szCs w:val="20"/>
        </w:rPr>
        <w:t xml:space="preserve">, la </w:t>
      </w:r>
      <w:r w:rsidRPr="000D0BEE">
        <w:rPr>
          <w:rFonts w:ascii="Verdana" w:hAnsi="Verdana"/>
          <w:sz w:val="20"/>
          <w:szCs w:val="20"/>
        </w:rPr>
        <w:t>Resolución 3988 De 2024</w:t>
      </w:r>
      <w:r>
        <w:rPr>
          <w:rFonts w:ascii="Verdana" w:hAnsi="Verdana"/>
          <w:sz w:val="20"/>
          <w:szCs w:val="20"/>
        </w:rPr>
        <w:t xml:space="preserve">, la </w:t>
      </w:r>
      <w:r w:rsidRPr="000D0BEE">
        <w:rPr>
          <w:rFonts w:ascii="Verdana" w:hAnsi="Verdana"/>
          <w:sz w:val="20"/>
          <w:szCs w:val="20"/>
        </w:rPr>
        <w:t>Resolución 4708 De 2024</w:t>
      </w:r>
      <w:r>
        <w:rPr>
          <w:rFonts w:ascii="Verdana" w:hAnsi="Verdana"/>
          <w:sz w:val="20"/>
          <w:szCs w:val="20"/>
        </w:rPr>
        <w:t>, l</w:t>
      </w:r>
      <w:r w:rsidRPr="000D0BEE">
        <w:rPr>
          <w:rFonts w:ascii="Verdana" w:hAnsi="Verdana"/>
          <w:sz w:val="20"/>
          <w:szCs w:val="20"/>
        </w:rPr>
        <w:t xml:space="preserve">a Resolución 5250 De 2024 </w:t>
      </w:r>
      <w:r>
        <w:rPr>
          <w:rFonts w:ascii="Verdana" w:hAnsi="Verdana"/>
          <w:sz w:val="20"/>
          <w:szCs w:val="20"/>
        </w:rPr>
        <w:t>y la</w:t>
      </w:r>
      <w:r w:rsidRPr="000D0BEE">
        <w:rPr>
          <w:rFonts w:ascii="Verdana" w:hAnsi="Verdana"/>
          <w:sz w:val="20"/>
          <w:szCs w:val="20"/>
        </w:rPr>
        <w:t xml:space="preserve"> Resolución 3134 De 2024</w:t>
      </w:r>
    </w:p>
    <w:p w14:paraId="5E657EE0" w14:textId="397B311B"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14658E">
        <w:rPr>
          <w:rFonts w:ascii="Verdana" w:hAnsi="Verdana"/>
          <w:b/>
          <w:bCs/>
          <w:sz w:val="22"/>
          <w:szCs w:val="22"/>
        </w:rPr>
        <w:t>130</w:t>
      </w:r>
      <w:r w:rsidRPr="00DB3505">
        <w:rPr>
          <w:rFonts w:ascii="Verdana" w:hAnsi="Verdana"/>
          <w:b/>
          <w:bCs/>
          <w:sz w:val="22"/>
          <w:szCs w:val="22"/>
        </w:rPr>
        <w:t xml:space="preserve"> DE 202</w:t>
      </w:r>
      <w:r w:rsidR="008D18D4">
        <w:rPr>
          <w:rFonts w:ascii="Verdana" w:hAnsi="Verdana"/>
          <w:b/>
          <w:bCs/>
          <w:sz w:val="22"/>
          <w:szCs w:val="22"/>
        </w:rPr>
        <w:t>4</w:t>
      </w:r>
    </w:p>
    <w:p w14:paraId="76C13A6D" w14:textId="4617A96E"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14658E">
        <w:rPr>
          <w:rFonts w:ascii="Verdana" w:hAnsi="Verdana"/>
          <w:b/>
          <w:bCs/>
          <w:sz w:val="22"/>
          <w:szCs w:val="22"/>
        </w:rPr>
        <w:t>1</w:t>
      </w:r>
      <w:r w:rsidR="005D5138">
        <w:rPr>
          <w:rFonts w:ascii="Verdana" w:hAnsi="Verdana"/>
          <w:b/>
          <w:bCs/>
          <w:sz w:val="22"/>
          <w:szCs w:val="22"/>
        </w:rPr>
        <w:t>9</w:t>
      </w:r>
      <w:r w:rsidR="00251F6B" w:rsidRPr="00251F6B">
        <w:rPr>
          <w:rFonts w:ascii="Verdana" w:hAnsi="Verdana"/>
          <w:b/>
          <w:bCs/>
          <w:sz w:val="22"/>
          <w:szCs w:val="22"/>
        </w:rPr>
        <w:t xml:space="preserve"> de </w:t>
      </w:r>
      <w:r w:rsidRPr="00DB3505">
        <w:rPr>
          <w:rFonts w:ascii="Verdana" w:hAnsi="Verdana"/>
          <w:b/>
          <w:bCs/>
          <w:sz w:val="22"/>
          <w:szCs w:val="22"/>
        </w:rPr>
        <w:t>enero)</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0557A560" w14:textId="77777777" w:rsidR="002B259D" w:rsidRDefault="002B259D" w:rsidP="00251F6B">
      <w:pPr>
        <w:jc w:val="center"/>
        <w:rPr>
          <w:rFonts w:ascii="Verdana" w:hAnsi="Verdana"/>
          <w:sz w:val="22"/>
          <w:szCs w:val="22"/>
        </w:rPr>
      </w:pPr>
      <w:r w:rsidRPr="002B259D">
        <w:rPr>
          <w:rFonts w:ascii="Verdana" w:hAnsi="Verdana"/>
          <w:sz w:val="22"/>
          <w:szCs w:val="22"/>
        </w:rPr>
        <w:t xml:space="preserve">“Por la cual se adoptan los Lineamientos de Programación y Ejecución de Metas Sociales y Financieras - Vigencia 2024 del Instituto Colombiano de Bienestar Familiar – Cecilia De la Fuente de Lleras – ICBF y se deroga la Resolución 002 del 2 de enero de 2024” </w:t>
      </w:r>
    </w:p>
    <w:p w14:paraId="3D6C6B14" w14:textId="0DAEC8BD" w:rsidR="00DB3505" w:rsidRPr="00DB3505" w:rsidRDefault="00693221" w:rsidP="00251F6B">
      <w:pPr>
        <w:jc w:val="center"/>
        <w:rPr>
          <w:rFonts w:ascii="Verdana" w:hAnsi="Verdana"/>
          <w:sz w:val="22"/>
          <w:szCs w:val="22"/>
        </w:rPr>
      </w:pPr>
      <w:r>
        <w:rPr>
          <w:rFonts w:ascii="Verdana" w:hAnsi="Verdana"/>
          <w:b/>
          <w:bCs/>
          <w:sz w:val="22"/>
          <w:szCs w:val="22"/>
        </w:rPr>
        <w:t xml:space="preserve">EL </w:t>
      </w:r>
      <w:r w:rsidR="00DB3505" w:rsidRPr="00DB3505">
        <w:rPr>
          <w:rFonts w:ascii="Verdana" w:hAnsi="Verdana"/>
          <w:b/>
          <w:bCs/>
          <w:sz w:val="22"/>
          <w:szCs w:val="22"/>
        </w:rPr>
        <w:t xml:space="preserve">DIRECTOR GENERAL </w:t>
      </w:r>
      <w:r>
        <w:rPr>
          <w:rFonts w:ascii="Verdana" w:hAnsi="Verdana"/>
          <w:b/>
          <w:bCs/>
          <w:sz w:val="22"/>
          <w:szCs w:val="22"/>
        </w:rPr>
        <w:t xml:space="preserve">ENCARGADO </w:t>
      </w:r>
      <w:r w:rsidR="00DB3505" w:rsidRPr="00DB3505">
        <w:rPr>
          <w:rFonts w:ascii="Verdana" w:hAnsi="Verdana"/>
          <w:b/>
          <w:bCs/>
          <w:sz w:val="22"/>
          <w:szCs w:val="22"/>
        </w:rPr>
        <w:t>DEL INSTITUTO COLOMBIANO DE BIENESTAR FAMILIAR CECILIA DE LA FUENTE DE LLERAS,</w:t>
      </w:r>
    </w:p>
    <w:p w14:paraId="7C7C395D" w14:textId="77777777" w:rsidR="002B259D" w:rsidRDefault="002B259D" w:rsidP="00251F6B">
      <w:pPr>
        <w:jc w:val="center"/>
        <w:rPr>
          <w:rFonts w:ascii="Verdana" w:hAnsi="Verdana"/>
          <w:sz w:val="22"/>
          <w:szCs w:val="22"/>
        </w:rPr>
      </w:pPr>
      <w:r w:rsidRPr="002B259D">
        <w:rPr>
          <w:rFonts w:ascii="Verdana" w:hAnsi="Verdana"/>
          <w:sz w:val="22"/>
          <w:szCs w:val="22"/>
        </w:rPr>
        <w:t xml:space="preserve">En uso de sus facultades legales y estatutarias y en especial de las conferidas por los artículos 28 de la Ley 7 de 1979 y 78 de la Ley 489 de 1998, la Resolución No. 94 de 2024 del Ministerio de la Igualdad y la Equidad y, </w:t>
      </w:r>
    </w:p>
    <w:p w14:paraId="62EE6393" w14:textId="3E9F3334" w:rsidR="00DB3505" w:rsidRDefault="00DB3505" w:rsidP="00251F6B">
      <w:pPr>
        <w:jc w:val="center"/>
        <w:rPr>
          <w:rFonts w:ascii="Verdana" w:hAnsi="Verdana"/>
          <w:b/>
          <w:bCs/>
          <w:sz w:val="22"/>
          <w:szCs w:val="22"/>
        </w:rPr>
      </w:pPr>
      <w:r w:rsidRPr="00DB3505">
        <w:rPr>
          <w:rFonts w:ascii="Verdana" w:hAnsi="Verdana"/>
          <w:b/>
          <w:bCs/>
          <w:sz w:val="22"/>
          <w:szCs w:val="22"/>
        </w:rPr>
        <w:t>CONSIDERANDO:</w:t>
      </w:r>
    </w:p>
    <w:p w14:paraId="476152F2" w14:textId="175E31C8" w:rsidR="002B259D" w:rsidRDefault="00E76D4A" w:rsidP="002B259D">
      <w:pPr>
        <w:pStyle w:val="Prrafodelista"/>
        <w:numPr>
          <w:ilvl w:val="0"/>
          <w:numId w:val="5"/>
        </w:numPr>
        <w:rPr>
          <w:rFonts w:ascii="Verdana" w:hAnsi="Verdana"/>
          <w:sz w:val="22"/>
          <w:szCs w:val="22"/>
        </w:rPr>
      </w:pPr>
      <w:r w:rsidRPr="00E76D4A">
        <w:rPr>
          <w:rFonts w:ascii="Verdana" w:hAnsi="Verdana"/>
          <w:sz w:val="22"/>
          <w:szCs w:val="22"/>
        </w:rPr>
        <w:t>Que el artículo 12 del Decreto 111 de 1996, señala los principios del sistema presupuestal entre los cuales se encuentran los de la planificación, la anualidad, la universalidad, la unidad de caja, la programación integral, la especialización, la inembargabilidad, la coherencia macroeconómica y la homeóstasis.</w:t>
      </w:r>
    </w:p>
    <w:p w14:paraId="47D99071" w14:textId="1364308A" w:rsidR="00E76D4A" w:rsidRPr="006C2C20" w:rsidRDefault="006C2C20" w:rsidP="002B259D">
      <w:pPr>
        <w:pStyle w:val="Prrafodelista"/>
        <w:numPr>
          <w:ilvl w:val="0"/>
          <w:numId w:val="5"/>
        </w:numPr>
        <w:rPr>
          <w:rFonts w:ascii="Verdana" w:hAnsi="Verdana"/>
          <w:sz w:val="22"/>
          <w:szCs w:val="22"/>
        </w:rPr>
      </w:pPr>
      <w:r w:rsidRPr="006C2C20">
        <w:rPr>
          <w:rFonts w:ascii="Verdana" w:hAnsi="Verdana"/>
          <w:sz w:val="22"/>
          <w:szCs w:val="22"/>
        </w:rPr>
        <w:t xml:space="preserve">Que el artículo 17 del referido Decreto hace referencia al principio de programación integral el cual indica que </w:t>
      </w:r>
      <w:r w:rsidRPr="006C2C20">
        <w:rPr>
          <w:rFonts w:ascii="Verdana" w:hAnsi="Verdana"/>
          <w:i/>
          <w:iCs/>
          <w:sz w:val="22"/>
          <w:szCs w:val="22"/>
        </w:rPr>
        <w:t>“Todo programa presupuestal deberá contemplar simultáneamente los gastos de inversión y de funcionamiento que las exigencias técnicas y administrativas demanden como necesarios para su ejecución y operación, de conformidad con los procedimientos y normas legales vigentes”.</w:t>
      </w:r>
    </w:p>
    <w:p w14:paraId="1A7D64BB" w14:textId="3BB55EAD" w:rsidR="006C2C20" w:rsidRDefault="006C2C20" w:rsidP="002B259D">
      <w:pPr>
        <w:pStyle w:val="Prrafodelista"/>
        <w:numPr>
          <w:ilvl w:val="0"/>
          <w:numId w:val="5"/>
        </w:numPr>
        <w:rPr>
          <w:rFonts w:ascii="Verdana" w:hAnsi="Verdana"/>
          <w:sz w:val="22"/>
          <w:szCs w:val="22"/>
        </w:rPr>
      </w:pPr>
      <w:r w:rsidRPr="006C2C20">
        <w:rPr>
          <w:rFonts w:ascii="Verdana" w:hAnsi="Verdana"/>
          <w:sz w:val="22"/>
          <w:szCs w:val="22"/>
        </w:rPr>
        <w:t>Que mediante la Ley 2342 del 15 de diciembre de 2023 por la cual se decreta el presupuesto de rentas y recursos de capital y Ley de apropiaciones para la vigencia fiscal del 1° de enero al 31 de diciembre de 2024.</w:t>
      </w:r>
    </w:p>
    <w:p w14:paraId="20C2B202" w14:textId="5E474BAF" w:rsidR="003C3330" w:rsidRDefault="003C3330" w:rsidP="002B259D">
      <w:pPr>
        <w:pStyle w:val="Prrafodelista"/>
        <w:numPr>
          <w:ilvl w:val="0"/>
          <w:numId w:val="5"/>
        </w:numPr>
        <w:rPr>
          <w:rFonts w:ascii="Verdana" w:hAnsi="Verdana"/>
          <w:sz w:val="22"/>
          <w:szCs w:val="22"/>
        </w:rPr>
      </w:pPr>
      <w:r w:rsidRPr="003C3330">
        <w:rPr>
          <w:rFonts w:ascii="Verdana" w:hAnsi="Verdana"/>
          <w:sz w:val="22"/>
          <w:szCs w:val="22"/>
        </w:rPr>
        <w:lastRenderedPageBreak/>
        <w:t>Que el Ministerio de Hacienda y Crédito Público mediante el Decreto 2295 del 29 de diciembre de 2023, por el cual se liquida el Presupuesto General de la Nación para la vigencia fiscal de 2024, se detallan las apropiaciones y se clasifican y definen los gastos. Este Decreto incluye el Presupuesto del Instituto Colombiano de Bienestar Familiar para la Vigencia Fiscal de 2024.</w:t>
      </w:r>
    </w:p>
    <w:p w14:paraId="58CD2740" w14:textId="42A091FE" w:rsidR="00143A2C" w:rsidRDefault="00143A2C" w:rsidP="002B259D">
      <w:pPr>
        <w:pStyle w:val="Prrafodelista"/>
        <w:numPr>
          <w:ilvl w:val="0"/>
          <w:numId w:val="5"/>
        </w:numPr>
        <w:rPr>
          <w:rFonts w:ascii="Verdana" w:hAnsi="Verdana"/>
          <w:sz w:val="22"/>
          <w:szCs w:val="22"/>
        </w:rPr>
      </w:pPr>
      <w:r w:rsidRPr="00143A2C">
        <w:rPr>
          <w:rFonts w:ascii="Verdana" w:hAnsi="Verdana"/>
          <w:sz w:val="22"/>
          <w:szCs w:val="22"/>
        </w:rPr>
        <w:t>Que mediante Resolución 0001 del 1 de enero de 2024, se consolidó el presupuesto de ingresos y se desagregó, distribuyó, asignó y comunicó el presupuesto de Gastos a Nivel de la Unidad Ejecutora, Sedes Regionales y Sede de la Dirección General del Instituto Colombiano de Bienestar Familiar – ICBF, para la Vigencia fiscal del año 2024.</w:t>
      </w:r>
    </w:p>
    <w:p w14:paraId="72A93C2E" w14:textId="2B05D631" w:rsidR="00143A2C" w:rsidRDefault="00143A2C" w:rsidP="002B259D">
      <w:pPr>
        <w:pStyle w:val="Prrafodelista"/>
        <w:numPr>
          <w:ilvl w:val="0"/>
          <w:numId w:val="5"/>
        </w:numPr>
        <w:rPr>
          <w:rFonts w:ascii="Verdana" w:hAnsi="Verdana"/>
          <w:sz w:val="22"/>
          <w:szCs w:val="22"/>
        </w:rPr>
      </w:pPr>
      <w:r w:rsidRPr="00143A2C">
        <w:rPr>
          <w:rFonts w:ascii="Verdana" w:hAnsi="Verdana"/>
          <w:sz w:val="22"/>
          <w:szCs w:val="22"/>
        </w:rPr>
        <w:t>Que con base en lo anterior se expidió la Resolución 002 del 2 de enero de 2024 a través de la cual el ICBF adoptó los Lineamientos de Programación y Ejecución de Metas Sociales y Financieras, para la Vigencia fiscal del año 2024.</w:t>
      </w:r>
    </w:p>
    <w:p w14:paraId="2E20FD1C" w14:textId="04629C5C" w:rsidR="00143A2C" w:rsidRDefault="00143A2C" w:rsidP="002B259D">
      <w:pPr>
        <w:pStyle w:val="Prrafodelista"/>
        <w:numPr>
          <w:ilvl w:val="0"/>
          <w:numId w:val="5"/>
        </w:numPr>
        <w:rPr>
          <w:rFonts w:ascii="Verdana" w:hAnsi="Verdana"/>
          <w:sz w:val="22"/>
          <w:szCs w:val="22"/>
        </w:rPr>
      </w:pPr>
      <w:r w:rsidRPr="00143A2C">
        <w:rPr>
          <w:rFonts w:ascii="Verdana" w:hAnsi="Verdana"/>
          <w:sz w:val="22"/>
          <w:szCs w:val="22"/>
        </w:rPr>
        <w:t>Que el Ministerio de Hacienda y Crédito Público, en el marco de sus funciones, publicó y dispuso en el sitio web oficial, el Catálogo de Clasificación Presupuestal de gasto de Funcionamiento, Deuda e Inversión, conforme lo expuesto en el artículo 2.8.1.2.3. del Decreto 1068 de 2015</w:t>
      </w:r>
      <w:r w:rsidR="00F44C1C">
        <w:rPr>
          <w:rStyle w:val="Refdenotaalfinal"/>
          <w:rFonts w:ascii="Verdana" w:hAnsi="Verdana"/>
          <w:sz w:val="22"/>
          <w:szCs w:val="22"/>
        </w:rPr>
        <w:endnoteReference w:id="1"/>
      </w:r>
      <w:r w:rsidRPr="00143A2C">
        <w:rPr>
          <w:rFonts w:ascii="Verdana" w:hAnsi="Verdana"/>
          <w:sz w:val="22"/>
          <w:szCs w:val="22"/>
        </w:rPr>
        <w:t>, el cual señaló:</w:t>
      </w:r>
    </w:p>
    <w:p w14:paraId="5E0772FC" w14:textId="3CA3443A" w:rsidR="00143A2C" w:rsidRPr="00143A2C" w:rsidRDefault="00143A2C" w:rsidP="00143A2C">
      <w:pPr>
        <w:pStyle w:val="Prrafodelista"/>
        <w:ind w:left="1416"/>
        <w:rPr>
          <w:rFonts w:ascii="Verdana" w:hAnsi="Verdana"/>
          <w:i/>
          <w:iCs/>
          <w:sz w:val="22"/>
          <w:szCs w:val="22"/>
        </w:rPr>
      </w:pPr>
      <w:r w:rsidRPr="00143A2C">
        <w:rPr>
          <w:rFonts w:ascii="Verdana" w:hAnsi="Verdana"/>
          <w:i/>
          <w:iCs/>
          <w:sz w:val="22"/>
          <w:szCs w:val="22"/>
        </w:rPr>
        <w:t xml:space="preserve">“…Mediante el Catálogo de Clasificación Presupuestal - CCP que establezca la Dirección General del Presupuesto Público Nacional del Ministerio de Hacienda y Crédito Público en desarrollo de facultades del artículo 92 y 93 y demás disposiciones aplicables del Estatuto Orgánico de Presupuesto - EOP, en armonía con el estándar internacional de finanzas públicas, se identifica y ubican los conceptos de ingresos y los objetos de gasto dentro del presupuesto. Los conceptos, definiciones, clasificaciones y convenciones presentadas en el mismo aplican para todos los órganos que hacen parte del Presupuesto General de la Nación. </w:t>
      </w:r>
    </w:p>
    <w:p w14:paraId="050785C3" w14:textId="5ED31A44" w:rsidR="00143A2C" w:rsidRDefault="00143A2C" w:rsidP="00143A2C">
      <w:pPr>
        <w:pStyle w:val="Prrafodelista"/>
        <w:ind w:left="1416"/>
        <w:rPr>
          <w:rFonts w:ascii="Verdana" w:hAnsi="Verdana"/>
          <w:i/>
          <w:iCs/>
          <w:sz w:val="22"/>
          <w:szCs w:val="22"/>
        </w:rPr>
      </w:pPr>
      <w:r w:rsidRPr="00143A2C">
        <w:rPr>
          <w:rFonts w:ascii="Verdana" w:hAnsi="Verdana"/>
          <w:i/>
          <w:iCs/>
          <w:sz w:val="22"/>
          <w:szCs w:val="22"/>
        </w:rPr>
        <w:t>El Catálogo de Clasificación Presupuestal es la base de todos los sistemas de codificación de los diferentes clasificadores presupuestales que se utilizan para definir tanto las transacciones de ingreso como de gasto en las etapas de programación, aprobación y ejecución del presupuesto. No contraviene la nomenclatura de cuentas que de acuerdo con la Ley Orgánica del Presupuesto establezca el órgano de control fiscal para los efectos de la contabilidad del presupuesto general del sector público.” (SIC)</w:t>
      </w:r>
    </w:p>
    <w:p w14:paraId="06843B14" w14:textId="287F5477" w:rsidR="00143A2C" w:rsidRDefault="00EA785D" w:rsidP="00143A2C">
      <w:pPr>
        <w:pStyle w:val="Prrafodelista"/>
        <w:numPr>
          <w:ilvl w:val="0"/>
          <w:numId w:val="5"/>
        </w:numPr>
        <w:rPr>
          <w:rFonts w:ascii="Verdana" w:hAnsi="Verdana"/>
          <w:sz w:val="22"/>
          <w:szCs w:val="22"/>
        </w:rPr>
      </w:pPr>
      <w:proofErr w:type="gramStart"/>
      <w:r>
        <w:rPr>
          <w:rFonts w:ascii="Verdana" w:hAnsi="Verdana"/>
          <w:sz w:val="22"/>
          <w:szCs w:val="22"/>
        </w:rPr>
        <w:t>Q</w:t>
      </w:r>
      <w:r w:rsidRPr="00EA785D">
        <w:rPr>
          <w:rFonts w:ascii="Verdana" w:hAnsi="Verdana"/>
          <w:sz w:val="22"/>
          <w:szCs w:val="22"/>
        </w:rPr>
        <w:t>ue</w:t>
      </w:r>
      <w:proofErr w:type="gramEnd"/>
      <w:r w:rsidRPr="00EA785D">
        <w:rPr>
          <w:rFonts w:ascii="Verdana" w:hAnsi="Verdana"/>
          <w:sz w:val="22"/>
          <w:szCs w:val="22"/>
        </w:rPr>
        <w:t xml:space="preserve"> respecto a la implementación del Catálogo de Clasificación Presupuestal, el artículo 19 de la Resolución No. 0042 del 20 de diciembre de 2019</w:t>
      </w:r>
      <w:r w:rsidR="001502B8">
        <w:rPr>
          <w:rStyle w:val="Refdenotaalfinal"/>
          <w:rFonts w:ascii="Verdana" w:hAnsi="Verdana"/>
          <w:sz w:val="22"/>
          <w:szCs w:val="22"/>
        </w:rPr>
        <w:endnoteReference w:id="2"/>
      </w:r>
      <w:r w:rsidRPr="00EA785D">
        <w:rPr>
          <w:rFonts w:ascii="Verdana" w:hAnsi="Verdana"/>
          <w:sz w:val="22"/>
          <w:szCs w:val="22"/>
        </w:rPr>
        <w:t xml:space="preserve"> expedida por el Ministerio de Hacienda y Crédito Público, dispuso:</w:t>
      </w:r>
    </w:p>
    <w:p w14:paraId="039D2E6F" w14:textId="0C5BF4EB" w:rsidR="00EA785D" w:rsidRPr="00EA785D" w:rsidRDefault="00EA785D" w:rsidP="00EA785D">
      <w:pPr>
        <w:ind w:left="1416"/>
        <w:rPr>
          <w:rFonts w:ascii="Verdana" w:hAnsi="Verdana"/>
          <w:i/>
          <w:iCs/>
          <w:sz w:val="22"/>
          <w:szCs w:val="22"/>
        </w:rPr>
      </w:pPr>
      <w:r w:rsidRPr="00EA785D">
        <w:rPr>
          <w:rFonts w:ascii="Verdana" w:hAnsi="Verdana"/>
          <w:i/>
          <w:iCs/>
          <w:sz w:val="22"/>
          <w:szCs w:val="22"/>
        </w:rPr>
        <w:t xml:space="preserve"> </w:t>
      </w:r>
      <w:r w:rsidRPr="00EA785D">
        <w:rPr>
          <w:rFonts w:ascii="Verdana" w:hAnsi="Verdana"/>
          <w:i/>
          <w:iCs/>
          <w:sz w:val="22"/>
          <w:szCs w:val="22"/>
        </w:rPr>
        <w:t xml:space="preserve">“IMPLEMENTACIÓN DEL CATÁLOGO DE CLASIFICACIÓN PRESUPUESTAL EN EL SIIF -NACIÓN. Para efectos de la implementación del catálogo de clasificación presupuestal en el Sistema Integrado de Información Financiera (SIIF) Nación, la Dirección General de Presupuesto Público Nacional y la </w:t>
      </w:r>
      <w:r w:rsidRPr="00EA785D">
        <w:rPr>
          <w:rFonts w:ascii="Verdana" w:hAnsi="Verdana"/>
          <w:i/>
          <w:iCs/>
          <w:sz w:val="22"/>
          <w:szCs w:val="22"/>
        </w:rPr>
        <w:lastRenderedPageBreak/>
        <w:t xml:space="preserve">Administración del SIIF establecerán los mecanismos a los que haya lugar. </w:t>
      </w:r>
    </w:p>
    <w:p w14:paraId="400B09C7" w14:textId="77777777" w:rsidR="00EA785D" w:rsidRPr="00EA785D" w:rsidRDefault="00EA785D" w:rsidP="00EA785D">
      <w:pPr>
        <w:pStyle w:val="Prrafodelista"/>
        <w:ind w:left="1416"/>
        <w:rPr>
          <w:rFonts w:ascii="Verdana" w:hAnsi="Verdana"/>
          <w:i/>
          <w:iCs/>
          <w:sz w:val="22"/>
          <w:szCs w:val="22"/>
        </w:rPr>
      </w:pPr>
    </w:p>
    <w:p w14:paraId="34872922" w14:textId="7D1543DC" w:rsidR="00EA785D" w:rsidRPr="00EA785D" w:rsidRDefault="00EA785D" w:rsidP="00EA785D">
      <w:pPr>
        <w:pStyle w:val="Prrafodelista"/>
        <w:ind w:left="1416"/>
        <w:rPr>
          <w:rFonts w:ascii="Verdana" w:hAnsi="Verdana"/>
          <w:i/>
          <w:iCs/>
          <w:sz w:val="22"/>
          <w:szCs w:val="22"/>
        </w:rPr>
      </w:pPr>
      <w:r w:rsidRPr="00EA785D">
        <w:rPr>
          <w:rFonts w:ascii="Verdana" w:hAnsi="Verdana"/>
          <w:i/>
          <w:iCs/>
          <w:sz w:val="22"/>
          <w:szCs w:val="22"/>
        </w:rPr>
        <w:t xml:space="preserve">Las tablas de la presente resolución y </w:t>
      </w:r>
      <w:r w:rsidRPr="00EA785D">
        <w:rPr>
          <w:rFonts w:ascii="Verdana" w:hAnsi="Verdana"/>
          <w:b/>
          <w:bCs/>
          <w:i/>
          <w:iCs/>
          <w:sz w:val="22"/>
          <w:szCs w:val="22"/>
        </w:rPr>
        <w:t>el detalle completo de la desagregación presentado por la Dirección General del Presupuesto Público Nacional en la página web del Ministerio de Hacienda y Crédito Público son aplicables en cada unidad ejecutora del Presupuesto General de la Nación de acuerdo a sus requerimientos, para efectos de programación, ejecución, registro y reporte,</w:t>
      </w:r>
      <w:r w:rsidRPr="00EA785D">
        <w:rPr>
          <w:rFonts w:ascii="Verdana" w:hAnsi="Verdana"/>
          <w:i/>
          <w:iCs/>
          <w:sz w:val="22"/>
          <w:szCs w:val="22"/>
        </w:rPr>
        <w:t xml:space="preserve"> por tanto, deberá utilizarse solo en lo que les aplique bajo la responsabilidad del jefe del respectivo órgano o en quien este delegue. </w:t>
      </w:r>
    </w:p>
    <w:p w14:paraId="4041CC1A" w14:textId="77777777" w:rsidR="00EA785D" w:rsidRPr="00EA785D" w:rsidRDefault="00EA785D" w:rsidP="00EA785D">
      <w:pPr>
        <w:pStyle w:val="Prrafodelista"/>
        <w:ind w:left="1416"/>
        <w:rPr>
          <w:rFonts w:ascii="Verdana" w:hAnsi="Verdana"/>
          <w:i/>
          <w:iCs/>
          <w:sz w:val="22"/>
          <w:szCs w:val="22"/>
        </w:rPr>
      </w:pPr>
    </w:p>
    <w:p w14:paraId="019FF0DE" w14:textId="373FD79D" w:rsidR="00EA785D" w:rsidRDefault="00EA785D" w:rsidP="00EA785D">
      <w:pPr>
        <w:pStyle w:val="Prrafodelista"/>
        <w:ind w:left="1416"/>
        <w:rPr>
          <w:rFonts w:ascii="Verdana" w:hAnsi="Verdana"/>
          <w:sz w:val="22"/>
          <w:szCs w:val="22"/>
        </w:rPr>
      </w:pPr>
      <w:r w:rsidRPr="00EA785D">
        <w:rPr>
          <w:rFonts w:ascii="Verdana" w:hAnsi="Verdana"/>
          <w:i/>
          <w:iCs/>
          <w:sz w:val="22"/>
          <w:szCs w:val="22"/>
        </w:rPr>
        <w:t xml:space="preserve">La Dirección General del Presupuesto Público Nacional habilitará a cada unidad ejecutora los rubros de acuerdo con la competencia y a solicitud de </w:t>
      </w:r>
      <w:proofErr w:type="gramStart"/>
      <w:r w:rsidRPr="00EA785D">
        <w:rPr>
          <w:rFonts w:ascii="Verdana" w:hAnsi="Verdana"/>
          <w:i/>
          <w:iCs/>
          <w:sz w:val="22"/>
          <w:szCs w:val="22"/>
        </w:rPr>
        <w:t>la misma</w:t>
      </w:r>
      <w:proofErr w:type="gramEnd"/>
      <w:r w:rsidRPr="00EA785D">
        <w:rPr>
          <w:rFonts w:ascii="Verdana" w:hAnsi="Verdana"/>
          <w:i/>
          <w:iCs/>
          <w:sz w:val="22"/>
          <w:szCs w:val="22"/>
        </w:rPr>
        <w:t>”</w:t>
      </w:r>
      <w:r w:rsidRPr="00EA785D">
        <w:rPr>
          <w:rFonts w:ascii="Verdana" w:hAnsi="Verdana"/>
          <w:sz w:val="22"/>
          <w:szCs w:val="22"/>
        </w:rPr>
        <w:t xml:space="preserve"> Negrilla y cursiva fuera de texto.</w:t>
      </w:r>
    </w:p>
    <w:p w14:paraId="442D1CEF" w14:textId="5DF7E8D1" w:rsidR="00D902B0" w:rsidRDefault="00D902B0" w:rsidP="00D902B0">
      <w:pPr>
        <w:pStyle w:val="Prrafodelista"/>
        <w:numPr>
          <w:ilvl w:val="0"/>
          <w:numId w:val="5"/>
        </w:numPr>
        <w:rPr>
          <w:rFonts w:ascii="Verdana" w:hAnsi="Verdana"/>
          <w:sz w:val="22"/>
          <w:szCs w:val="22"/>
        </w:rPr>
      </w:pPr>
      <w:r w:rsidRPr="00D902B0">
        <w:rPr>
          <w:rFonts w:ascii="Verdana" w:hAnsi="Verdana"/>
          <w:sz w:val="22"/>
          <w:szCs w:val="22"/>
        </w:rPr>
        <w:t>Que cualquier actualización y/o modificación que el Ministerio de Hacienda y Crédito Público en el marco de sus funciones y competencias, realice a los Catálogos de Clasificación Presupuestal de Gastos de Inversión, Funcionamiento y Servicio a la Deuda, podría afectar la desagregación, distribución y asignación del presupuesto de ingresos y de gastos del Instituto Colombiano de Bienestar Familiar – ICBF, para la vigencia fiscal del año 2024.</w:t>
      </w:r>
      <w:r>
        <w:rPr>
          <w:rFonts w:ascii="Verdana" w:hAnsi="Verdana"/>
          <w:sz w:val="22"/>
          <w:szCs w:val="22"/>
        </w:rPr>
        <w:t xml:space="preserve"> </w:t>
      </w:r>
    </w:p>
    <w:p w14:paraId="50535162" w14:textId="5F2FA3DA" w:rsidR="00AD4A99" w:rsidRPr="00AD4A99" w:rsidRDefault="00AD4A99" w:rsidP="00AD4A99">
      <w:pPr>
        <w:pStyle w:val="Prrafodelista"/>
        <w:numPr>
          <w:ilvl w:val="0"/>
          <w:numId w:val="5"/>
        </w:numPr>
        <w:rPr>
          <w:rFonts w:ascii="Verdana" w:hAnsi="Verdana"/>
          <w:sz w:val="22"/>
          <w:szCs w:val="22"/>
        </w:rPr>
      </w:pPr>
      <w:r w:rsidRPr="00AD4A99">
        <w:rPr>
          <w:rFonts w:ascii="Verdana" w:hAnsi="Verdana"/>
          <w:sz w:val="22"/>
          <w:szCs w:val="22"/>
        </w:rPr>
        <w:t xml:space="preserve">Que adicionalmente, la Dirección General de Presupuesto Público Nacional del Ministerio de Hacienda y Crédito Público, con el aval del Departamento Nacional de Planeación a través de la Dirección de Inversiones y Finanzas Públicas, dispone el Manual de Clasificación Presupuestal para ingresos y gastos del Presupuesto General de la Nación. </w:t>
      </w:r>
    </w:p>
    <w:p w14:paraId="6EEBF023" w14:textId="034A53FB" w:rsidR="00AD4A99" w:rsidRPr="00AD4A99" w:rsidRDefault="00AD4A99" w:rsidP="00AD4A99">
      <w:pPr>
        <w:pStyle w:val="Prrafodelista"/>
        <w:numPr>
          <w:ilvl w:val="0"/>
          <w:numId w:val="5"/>
        </w:numPr>
        <w:rPr>
          <w:rFonts w:ascii="Verdana" w:hAnsi="Verdana"/>
          <w:sz w:val="22"/>
          <w:szCs w:val="22"/>
        </w:rPr>
      </w:pPr>
      <w:r w:rsidRPr="00AD4A99">
        <w:rPr>
          <w:rFonts w:ascii="Verdana" w:hAnsi="Verdana"/>
          <w:sz w:val="22"/>
          <w:szCs w:val="22"/>
        </w:rPr>
        <w:t xml:space="preserve">Que este Manual de Clasificación Presupuestal para ingresos y gastos, contiene la desagregación general de la clasificación propuesta, las definiciones adoptadas y algunos casos de aplicación específica, por lo cual debe tenerse en cuenta que, la extensión </w:t>
      </w:r>
      <w:proofErr w:type="gramStart"/>
      <w:r w:rsidRPr="00AD4A99">
        <w:rPr>
          <w:rFonts w:ascii="Verdana" w:hAnsi="Verdana"/>
          <w:sz w:val="22"/>
          <w:szCs w:val="22"/>
        </w:rPr>
        <w:t>del mismo</w:t>
      </w:r>
      <w:proofErr w:type="gramEnd"/>
      <w:r w:rsidRPr="00AD4A99">
        <w:rPr>
          <w:rFonts w:ascii="Verdana" w:hAnsi="Verdana"/>
          <w:sz w:val="22"/>
          <w:szCs w:val="22"/>
        </w:rPr>
        <w:t xml:space="preserve"> no implica que todos los órganos deban aplicar todos los conceptos allí registrados, ya que los mismos deben responder a la naturaleza de la entidad y los soportes normativos para su uso. </w:t>
      </w:r>
    </w:p>
    <w:p w14:paraId="6C685D28" w14:textId="77777777" w:rsidR="00AD4A99" w:rsidRPr="00AD4A99" w:rsidRDefault="00AD4A99" w:rsidP="00AD4A99">
      <w:pPr>
        <w:pStyle w:val="Prrafodelista"/>
        <w:numPr>
          <w:ilvl w:val="0"/>
          <w:numId w:val="5"/>
        </w:numPr>
        <w:rPr>
          <w:rFonts w:ascii="Verdana" w:hAnsi="Verdana"/>
          <w:sz w:val="22"/>
          <w:szCs w:val="22"/>
        </w:rPr>
      </w:pPr>
      <w:r w:rsidRPr="00AD4A99">
        <w:rPr>
          <w:rFonts w:ascii="Verdana" w:hAnsi="Verdana"/>
          <w:sz w:val="22"/>
          <w:szCs w:val="22"/>
        </w:rPr>
        <w:t xml:space="preserve">Que el DANE publica el documento denominado “Clasificación Central de Productos (CPC) Versión 2.1 (2022)”, el cual contiene el máximo nivel de desagregación y definición de la totalidad de los usos (objetos de gasto), en concordancia con el Catálogo de Clasificación Presupuestal y el Manual de Clasificación Presupuestal expedidos por el Ministerio de Hacienda y Crédito Público. </w:t>
      </w:r>
    </w:p>
    <w:p w14:paraId="5311F144" w14:textId="05B8A533" w:rsidR="00AD4A99" w:rsidRPr="00AD4A99" w:rsidRDefault="00AD4A99" w:rsidP="00AD4A99">
      <w:pPr>
        <w:pStyle w:val="Prrafodelista"/>
        <w:numPr>
          <w:ilvl w:val="0"/>
          <w:numId w:val="5"/>
        </w:numPr>
        <w:rPr>
          <w:rFonts w:ascii="Verdana" w:hAnsi="Verdana"/>
          <w:sz w:val="22"/>
          <w:szCs w:val="22"/>
        </w:rPr>
      </w:pPr>
      <w:r w:rsidRPr="00AD4A99">
        <w:rPr>
          <w:rFonts w:ascii="Verdana" w:hAnsi="Verdana"/>
          <w:sz w:val="22"/>
          <w:szCs w:val="22"/>
        </w:rPr>
        <w:t xml:space="preserve">Que la versión 2.1 (2022) mencionada (o la que se actualice por parte del DANE), así como el Catálogo de Clasificación Presupuestal y el Manual de Clasificación Presupuestal que se encuentre publicado por el MHCP, serán los que deban tomarse como referencia para definir los objetos de gasto en relación con la estructura de los gastos de funcionamiento de la entidad. </w:t>
      </w:r>
    </w:p>
    <w:p w14:paraId="099B6D0B" w14:textId="2A7AEEEA" w:rsidR="00AD4A99" w:rsidRPr="00AD4A99" w:rsidRDefault="00AD4A99" w:rsidP="00AD4A99">
      <w:pPr>
        <w:pStyle w:val="Prrafodelista"/>
        <w:numPr>
          <w:ilvl w:val="0"/>
          <w:numId w:val="5"/>
        </w:numPr>
        <w:rPr>
          <w:rFonts w:ascii="Verdana" w:hAnsi="Verdana"/>
          <w:sz w:val="22"/>
          <w:szCs w:val="22"/>
        </w:rPr>
      </w:pPr>
      <w:r w:rsidRPr="00AD4A99">
        <w:rPr>
          <w:rFonts w:ascii="Verdana" w:hAnsi="Verdana"/>
          <w:sz w:val="22"/>
          <w:szCs w:val="22"/>
        </w:rPr>
        <w:lastRenderedPageBreak/>
        <w:t xml:space="preserve">Que por ser de aplicación universal para todos los órganos que hacen parte del Presupuesto General de la Nación, el ICBF debe acoger el último Catálogo de Clasificación Presupuestal de Gastos de Inversión, Funcionamiento y Servicio a la Deuda y el Manual de Clasificación Presupuestal (PCP) vigente por parte del Ministerio de Hacienda y Crédito Público, así como la última versión publicada por el DANE de la Clasificación Central de Productos (CPC) siempre y cuando corresponda a la naturaleza, misión y objetivos estratégicos del ICBF. </w:t>
      </w:r>
    </w:p>
    <w:p w14:paraId="05E43B21" w14:textId="454A90C8" w:rsidR="00AD4A99" w:rsidRDefault="00AD4A99" w:rsidP="00AD4A99">
      <w:pPr>
        <w:pStyle w:val="Prrafodelista"/>
        <w:numPr>
          <w:ilvl w:val="0"/>
          <w:numId w:val="5"/>
        </w:numPr>
        <w:rPr>
          <w:rFonts w:ascii="Verdana" w:hAnsi="Verdana"/>
          <w:sz w:val="22"/>
          <w:szCs w:val="22"/>
        </w:rPr>
      </w:pPr>
      <w:r w:rsidRPr="00AD4A99">
        <w:rPr>
          <w:rFonts w:ascii="Verdana" w:hAnsi="Verdana"/>
          <w:sz w:val="22"/>
          <w:szCs w:val="22"/>
        </w:rPr>
        <w:t>Que los Lineamientos de Programación y Ejecución de Metas Sociales y Financieras, los cuales se encuentran compuestos por 79 fichas de programación con sus correspondientes anexos, formulados por los responsables de los gastos de funcionamiento e inversión por proyecto, centros de costos y modalidades de atención y hacen parte integral de la presente Resolución, las cuales deben ser ajustadas sobre la última estructura presupuestal dispuesta por el Ministerio de Hacienda y Crédito Público el día 3 de enero de 2024 en SIIF Nación, conforme a lo informado en la Circular Externa 044 del 31 de diciembre de 2023 del SIIF Nación.</w:t>
      </w:r>
    </w:p>
    <w:p w14:paraId="1C93D991" w14:textId="5B987F56" w:rsidR="00AD4A99" w:rsidRDefault="00A97813" w:rsidP="00AD4A99">
      <w:pPr>
        <w:pStyle w:val="Prrafodelista"/>
        <w:numPr>
          <w:ilvl w:val="0"/>
          <w:numId w:val="5"/>
        </w:numPr>
        <w:rPr>
          <w:rFonts w:ascii="Verdana" w:hAnsi="Verdana"/>
          <w:sz w:val="22"/>
          <w:szCs w:val="22"/>
        </w:rPr>
      </w:pPr>
      <w:r w:rsidRPr="00A97813">
        <w:rPr>
          <w:rFonts w:ascii="Verdana" w:hAnsi="Verdana"/>
          <w:sz w:val="22"/>
          <w:szCs w:val="22"/>
        </w:rPr>
        <w:t>Que en relación con consulta realizada por el ICBF sobre la desagregación de la estructura presupuestal habilitada en SIIF Nación para los recursos del Crédito</w:t>
      </w:r>
      <w:r>
        <w:rPr>
          <w:rFonts w:ascii="Verdana" w:hAnsi="Verdana"/>
          <w:sz w:val="22"/>
          <w:szCs w:val="22"/>
        </w:rPr>
        <w:t xml:space="preserve"> </w:t>
      </w:r>
      <w:r w:rsidRPr="00A97813">
        <w:rPr>
          <w:rFonts w:ascii="Verdana" w:hAnsi="Verdana"/>
          <w:sz w:val="22"/>
          <w:szCs w:val="22"/>
        </w:rPr>
        <w:t>BID No. 5187-OC-CO Recurso 14, el Ministerio de Hacienda y Crédito Público, mediante comunicación oficial remitida por correo electrónico de fecha 18 de enero de 2024, señaló:</w:t>
      </w:r>
    </w:p>
    <w:p w14:paraId="12915180" w14:textId="5209C047" w:rsidR="00A97813" w:rsidRDefault="00A97813" w:rsidP="00A97813">
      <w:pPr>
        <w:pStyle w:val="Prrafodelista"/>
        <w:ind w:left="1416"/>
        <w:rPr>
          <w:rFonts w:ascii="Verdana" w:hAnsi="Verdana"/>
          <w:i/>
          <w:iCs/>
          <w:sz w:val="22"/>
          <w:szCs w:val="22"/>
        </w:rPr>
      </w:pPr>
      <w:r w:rsidRPr="00A97813">
        <w:rPr>
          <w:rFonts w:ascii="Verdana" w:hAnsi="Verdana"/>
          <w:i/>
          <w:iCs/>
          <w:sz w:val="22"/>
          <w:szCs w:val="22"/>
        </w:rPr>
        <w:t>(…) teniendo en cuenta que el rubro C-4602-1500-9-704080 para el 2024 tiene presupuesto por REC 14 Y 27, la política de la Administración SIIF es que la desagregación por componente se hace a nivel del objeto de gasto, para que la ejecución de REC 27 no se vea afectada y pueda ejecutarse a nivel de C-4602-1500-9-704080-4602021-02 ADQUIS. DE BYS - SERVICIO DE ATENCIÓN INTEGRAL PARA LA PROMOCIÓN DE DERECHOS Y PREVENCIÓN DE VULNERACIONES DE NIÑAS, NIÑOS Y ADOLESCENTES - FORTALECIMIENTO DE CAPACIDADES Y DISPOSICIÓN DE CONDICIONES Y OPORTUNIDADES QUE PROMUEVAN EL DESARROLLO</w:t>
      </w:r>
      <w:r w:rsidRPr="00A97813">
        <w:rPr>
          <w:rFonts w:ascii="Verdana" w:hAnsi="Verdana"/>
          <w:i/>
          <w:iCs/>
          <w:sz w:val="22"/>
          <w:szCs w:val="22"/>
        </w:rPr>
        <w:t xml:space="preserve"> </w:t>
      </w:r>
      <w:r w:rsidRPr="00A97813">
        <w:rPr>
          <w:rFonts w:ascii="Verdana" w:hAnsi="Verdana"/>
          <w:i/>
          <w:iCs/>
          <w:sz w:val="22"/>
          <w:szCs w:val="22"/>
        </w:rPr>
        <w:t>INTEGRAL</w:t>
      </w:r>
    </w:p>
    <w:p w14:paraId="30324B1C" w14:textId="77777777" w:rsidR="00543054" w:rsidRPr="00543054" w:rsidRDefault="00543054" w:rsidP="00543054">
      <w:pPr>
        <w:pStyle w:val="Prrafodelista"/>
        <w:numPr>
          <w:ilvl w:val="0"/>
          <w:numId w:val="5"/>
        </w:numPr>
        <w:rPr>
          <w:rFonts w:ascii="Verdana" w:hAnsi="Verdana"/>
          <w:sz w:val="22"/>
          <w:szCs w:val="22"/>
        </w:rPr>
      </w:pPr>
      <w:proofErr w:type="gramStart"/>
      <w:r w:rsidRPr="00543054">
        <w:rPr>
          <w:rFonts w:ascii="Verdana" w:hAnsi="Verdana"/>
          <w:sz w:val="22"/>
          <w:szCs w:val="22"/>
        </w:rPr>
        <w:t>Que</w:t>
      </w:r>
      <w:proofErr w:type="gramEnd"/>
      <w:r w:rsidRPr="00543054">
        <w:rPr>
          <w:rFonts w:ascii="Verdana" w:hAnsi="Verdana"/>
          <w:sz w:val="22"/>
          <w:szCs w:val="22"/>
        </w:rPr>
        <w:t xml:space="preserve"> de acuerdo con lo expuesto por el Ministerio de Hacienda y Crédito Público en la respuesta antes referida, se requiere modificar las fichas de los Lineamientos de Programación relacionadas con el Crédito BID antes mencionado, adoptadas mediante el artículo 1 de la Resolución No. 002 del 2 de enero de 2024. </w:t>
      </w:r>
    </w:p>
    <w:p w14:paraId="419540D5" w14:textId="1EFCC5F2" w:rsidR="00543054" w:rsidRPr="00543054" w:rsidRDefault="00543054" w:rsidP="00543054">
      <w:pPr>
        <w:pStyle w:val="Prrafodelista"/>
        <w:numPr>
          <w:ilvl w:val="0"/>
          <w:numId w:val="5"/>
        </w:numPr>
        <w:rPr>
          <w:rFonts w:ascii="Verdana" w:hAnsi="Verdana"/>
          <w:sz w:val="22"/>
          <w:szCs w:val="22"/>
        </w:rPr>
      </w:pPr>
      <w:r w:rsidRPr="00543054">
        <w:rPr>
          <w:rFonts w:ascii="Verdana" w:hAnsi="Verdana"/>
          <w:sz w:val="22"/>
          <w:szCs w:val="22"/>
        </w:rPr>
        <w:t xml:space="preserve">Que en virtud de lo anterior, se requiere establecer los objetivos, criterios y parámetros para la programación y ejecución de los distintos proyectos, centros de costos y modalidades de atención del servicio público de Bienestar Familiar, que son financiados con recursos apropiados en el Decreto de Liquidación del Presupuesto General de la Nación, por lo que el ICBF debe adoptar los Lineamientos de Programación y Ejecución de Metas Sociales y Financieras para la Vigencia 2024 conforme a las últimas disposiciones y en consecuencia, derogar la Resolución No. 002 del 2 de enero de 2024. </w:t>
      </w:r>
    </w:p>
    <w:p w14:paraId="49E89570" w14:textId="15E504D9" w:rsidR="00A97813" w:rsidRPr="00A97813" w:rsidRDefault="00543054" w:rsidP="00543054">
      <w:pPr>
        <w:pStyle w:val="Prrafodelista"/>
        <w:numPr>
          <w:ilvl w:val="0"/>
          <w:numId w:val="5"/>
        </w:numPr>
        <w:rPr>
          <w:rFonts w:ascii="Verdana" w:hAnsi="Verdana"/>
          <w:sz w:val="22"/>
          <w:szCs w:val="22"/>
        </w:rPr>
      </w:pPr>
      <w:r w:rsidRPr="00543054">
        <w:rPr>
          <w:rFonts w:ascii="Verdana" w:hAnsi="Verdana"/>
          <w:sz w:val="22"/>
          <w:szCs w:val="22"/>
        </w:rPr>
        <w:t>En mérito de lo expuesto,</w:t>
      </w:r>
    </w:p>
    <w:p w14:paraId="4D19E32B" w14:textId="6C4B5C49" w:rsidR="00DB3505" w:rsidRPr="00DB3505" w:rsidRDefault="00DB3505" w:rsidP="00692A8A">
      <w:pPr>
        <w:jc w:val="center"/>
        <w:rPr>
          <w:rFonts w:ascii="Verdana" w:hAnsi="Verdana"/>
          <w:sz w:val="22"/>
          <w:szCs w:val="22"/>
        </w:rPr>
      </w:pPr>
      <w:r w:rsidRPr="00DB3505">
        <w:rPr>
          <w:rFonts w:ascii="Verdana" w:hAnsi="Verdana"/>
          <w:b/>
          <w:bCs/>
          <w:sz w:val="22"/>
          <w:szCs w:val="22"/>
        </w:rPr>
        <w:lastRenderedPageBreak/>
        <w:t>RESUELVE:</w:t>
      </w:r>
    </w:p>
    <w:p w14:paraId="52802B47" w14:textId="64CF0D12" w:rsidR="00DB3505" w:rsidRPr="00A51A14" w:rsidRDefault="00DB3505" w:rsidP="00543054">
      <w:pPr>
        <w:rPr>
          <w:rFonts w:ascii="Verdana" w:hAnsi="Verdana"/>
          <w:sz w:val="22"/>
          <w:szCs w:val="22"/>
        </w:rPr>
      </w:pPr>
      <w:bookmarkStart w:id="0" w:name="1"/>
      <w:r w:rsidRPr="00DB3505">
        <w:rPr>
          <w:rFonts w:ascii="Verdana" w:hAnsi="Verdana"/>
          <w:b/>
          <w:bCs/>
          <w:sz w:val="22"/>
          <w:szCs w:val="22"/>
        </w:rPr>
        <w:t>ARTÍCULO 1o.</w:t>
      </w:r>
      <w:bookmarkEnd w:id="0"/>
      <w:r w:rsidRPr="00DB3505">
        <w:rPr>
          <w:rFonts w:ascii="Verdana" w:hAnsi="Verdana"/>
          <w:sz w:val="22"/>
          <w:szCs w:val="22"/>
        </w:rPr>
        <w:t> </w:t>
      </w:r>
      <w:r w:rsidR="00543054" w:rsidRPr="00543054">
        <w:rPr>
          <w:rFonts w:ascii="Verdana" w:hAnsi="Verdana"/>
          <w:sz w:val="22"/>
          <w:szCs w:val="22"/>
        </w:rPr>
        <w:t>ADOPTAR los Lineamientos de Programación y Ejecución de Metas Sociales y Financieras - Vigencia 2024 en 79 fichas y sus correspondientes anexos establecidas por Dependencia de Gasto de funcionamiento e inversión y modalidades de atención (cuando aplique), y registrados en el presupuesto de gastos del ICBF, los cuales forman parte integral de la presente Resolución.</w:t>
      </w:r>
    </w:p>
    <w:p w14:paraId="6C682FD4" w14:textId="1EA81D71" w:rsidR="00DB3505" w:rsidRPr="00DB3505" w:rsidRDefault="00DB3505" w:rsidP="00DB3505">
      <w:pPr>
        <w:rPr>
          <w:rFonts w:ascii="Verdana" w:hAnsi="Verdana"/>
          <w:sz w:val="22"/>
          <w:szCs w:val="22"/>
        </w:rPr>
      </w:pPr>
      <w:bookmarkStart w:id="1" w:name="2"/>
      <w:r w:rsidRPr="00DB3505">
        <w:rPr>
          <w:rFonts w:ascii="Verdana" w:hAnsi="Verdana"/>
          <w:b/>
          <w:bCs/>
          <w:sz w:val="22"/>
          <w:szCs w:val="22"/>
        </w:rPr>
        <w:t>ARTÍCULO 2o.</w:t>
      </w:r>
      <w:bookmarkEnd w:id="1"/>
      <w:r w:rsidRPr="00DB3505">
        <w:rPr>
          <w:rFonts w:ascii="Verdana" w:hAnsi="Verdana"/>
          <w:sz w:val="22"/>
          <w:szCs w:val="22"/>
        </w:rPr>
        <w:t> </w:t>
      </w:r>
      <w:r w:rsidR="00E96AE6" w:rsidRPr="00E96AE6">
        <w:rPr>
          <w:rFonts w:ascii="Verdana" w:hAnsi="Verdana"/>
          <w:sz w:val="22"/>
          <w:szCs w:val="22"/>
        </w:rPr>
        <w:t xml:space="preserve">ACOGER el Manual de Clasificación Presupuestal (PCP) para ingresos y gastos del Presupuesto General de la Nación, el Catálogo de Clasificación Presupuestal (CCP) y la Clasificación Central de Productos (CPC) vigentes y disponibles, con respecto a las fichas de programación asociadas a los gastos de funcionamiento, siempre y cuando correspondan a la naturaleza, misión y objetivos estratégicos del ICBF. </w:t>
      </w:r>
    </w:p>
    <w:p w14:paraId="66527DAC" w14:textId="08D22416" w:rsidR="00E96AE6" w:rsidRDefault="00DB3505" w:rsidP="00DB3505">
      <w:pPr>
        <w:rPr>
          <w:rFonts w:ascii="Verdana" w:hAnsi="Verdana"/>
          <w:sz w:val="22"/>
          <w:szCs w:val="22"/>
        </w:rPr>
      </w:pPr>
      <w:bookmarkStart w:id="2" w:name="3"/>
      <w:r w:rsidRPr="00DB3505">
        <w:rPr>
          <w:rFonts w:ascii="Verdana" w:hAnsi="Verdana"/>
          <w:b/>
          <w:bCs/>
          <w:sz w:val="22"/>
          <w:szCs w:val="22"/>
        </w:rPr>
        <w:t>ARTÍCULO 3o.</w:t>
      </w:r>
      <w:bookmarkEnd w:id="2"/>
      <w:r w:rsidRPr="00DB3505">
        <w:rPr>
          <w:rFonts w:ascii="Verdana" w:hAnsi="Verdana"/>
          <w:sz w:val="22"/>
          <w:szCs w:val="22"/>
        </w:rPr>
        <w:t> </w:t>
      </w:r>
      <w:bookmarkStart w:id="3" w:name="4"/>
      <w:r w:rsidR="00E96AE6" w:rsidRPr="00E96AE6">
        <w:rPr>
          <w:rFonts w:ascii="Verdana" w:hAnsi="Verdana"/>
          <w:sz w:val="22"/>
          <w:szCs w:val="22"/>
        </w:rPr>
        <w:t xml:space="preserve">MODIFICACIONES PARA LOS PROYECTOS DE INVERSIÓN. Cualquier modificación o ajuste a las fichas de Inversión en los Lineamientos de Programación y Ejecución de Metas Sociales y Financieras - Vigencia 2024, deberá ser realizada a través de Resolución y soportada en la solicitud y justificación técnica y presupuestal, mediante memorando del responsable de la ficha de programación y el aval de la Subdirección de Programación de la Dirección de Planeación y Control de Gestión del ICBF y el control de legalidad de la Oficina Asesora Jurídica. </w:t>
      </w:r>
    </w:p>
    <w:p w14:paraId="532BDF97" w14:textId="41367733" w:rsidR="003D2F74" w:rsidRPr="00DB3505" w:rsidRDefault="00DB3505" w:rsidP="00DB3505">
      <w:pPr>
        <w:rPr>
          <w:rFonts w:ascii="Verdana" w:hAnsi="Verdana"/>
          <w:sz w:val="22"/>
          <w:szCs w:val="22"/>
        </w:rPr>
      </w:pPr>
      <w:r w:rsidRPr="00DB3505">
        <w:rPr>
          <w:rFonts w:ascii="Verdana" w:hAnsi="Verdana"/>
          <w:b/>
          <w:bCs/>
          <w:sz w:val="22"/>
          <w:szCs w:val="22"/>
        </w:rPr>
        <w:t>ARTÍCULO 4o.</w:t>
      </w:r>
      <w:bookmarkEnd w:id="3"/>
      <w:r w:rsidRPr="00DB3505">
        <w:rPr>
          <w:rFonts w:ascii="Verdana" w:hAnsi="Verdana"/>
          <w:sz w:val="22"/>
          <w:szCs w:val="22"/>
        </w:rPr>
        <w:t> </w:t>
      </w:r>
      <w:r w:rsidR="00E96AE6" w:rsidRPr="00E96AE6">
        <w:rPr>
          <w:rFonts w:ascii="Verdana" w:hAnsi="Verdana"/>
          <w:sz w:val="22"/>
          <w:szCs w:val="22"/>
        </w:rPr>
        <w:t>VIGENCIA y DEROGATORIA. La presente Resolución rige a partir de la fecha de su expedición y deroga la Resolución No. 002 del 2 de enero de 2024.</w:t>
      </w:r>
    </w:p>
    <w:p w14:paraId="6F2189C5" w14:textId="1DB2AE97" w:rsidR="00DB3505" w:rsidRPr="00DB3505" w:rsidRDefault="003D2F74" w:rsidP="00DE103B">
      <w:pPr>
        <w:jc w:val="center"/>
        <w:rPr>
          <w:rFonts w:ascii="Verdana" w:hAnsi="Verdana"/>
          <w:b/>
          <w:bCs/>
          <w:sz w:val="22"/>
          <w:szCs w:val="22"/>
        </w:rPr>
      </w:pPr>
      <w:r>
        <w:rPr>
          <w:rFonts w:ascii="Verdana" w:hAnsi="Verdana"/>
          <w:b/>
          <w:bCs/>
          <w:sz w:val="22"/>
          <w:szCs w:val="22"/>
        </w:rPr>
        <w:t xml:space="preserve"> </w:t>
      </w:r>
      <w:r w:rsidR="00DE103B" w:rsidRPr="00DB3505">
        <w:rPr>
          <w:rFonts w:ascii="Verdana" w:hAnsi="Verdana"/>
          <w:b/>
          <w:bCs/>
          <w:sz w:val="22"/>
          <w:szCs w:val="22"/>
        </w:rPr>
        <w:t>COMUNÍQUESE Y CÚMPLASE</w:t>
      </w:r>
      <w:r w:rsidR="00DE103B" w:rsidRPr="00DE103B">
        <w:rPr>
          <w:rFonts w:ascii="Verdana" w:hAnsi="Verdana"/>
          <w:b/>
          <w:bCs/>
          <w:sz w:val="22"/>
          <w:szCs w:val="22"/>
        </w:rPr>
        <w:t xml:space="preserve">, </w:t>
      </w:r>
    </w:p>
    <w:p w14:paraId="74AF46DF" w14:textId="6187B279"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a </w:t>
      </w:r>
      <w:r w:rsidR="00DE103B">
        <w:rPr>
          <w:rFonts w:ascii="Verdana" w:hAnsi="Verdana"/>
          <w:sz w:val="22"/>
          <w:szCs w:val="22"/>
        </w:rPr>
        <w:t xml:space="preserve">los </w:t>
      </w:r>
      <w:r w:rsidR="00E96AE6">
        <w:rPr>
          <w:rFonts w:ascii="Verdana" w:hAnsi="Verdana"/>
          <w:sz w:val="22"/>
          <w:szCs w:val="22"/>
        </w:rPr>
        <w:t>1</w:t>
      </w:r>
      <w:r w:rsidR="00F770E5">
        <w:rPr>
          <w:rFonts w:ascii="Verdana" w:hAnsi="Verdana"/>
          <w:sz w:val="22"/>
          <w:szCs w:val="22"/>
        </w:rPr>
        <w:t>9</w:t>
      </w:r>
      <w:r w:rsidR="00DE103B" w:rsidRPr="00DB3505">
        <w:rPr>
          <w:rFonts w:ascii="Verdana" w:hAnsi="Verdana"/>
          <w:sz w:val="22"/>
          <w:szCs w:val="22"/>
        </w:rPr>
        <w:t xml:space="preserve"> </w:t>
      </w:r>
      <w:r w:rsidR="00DE103B">
        <w:rPr>
          <w:rFonts w:ascii="Verdana" w:hAnsi="Verdana"/>
          <w:sz w:val="22"/>
          <w:szCs w:val="22"/>
        </w:rPr>
        <w:t xml:space="preserve">días del mes </w:t>
      </w:r>
      <w:r w:rsidRPr="00DB3505">
        <w:rPr>
          <w:rFonts w:ascii="Verdana" w:hAnsi="Verdana"/>
          <w:sz w:val="22"/>
          <w:szCs w:val="22"/>
        </w:rPr>
        <w:t>de enero de 202</w:t>
      </w:r>
      <w:r w:rsidR="00F770E5">
        <w:rPr>
          <w:rFonts w:ascii="Verdana" w:hAnsi="Verdana"/>
          <w:sz w:val="22"/>
          <w:szCs w:val="22"/>
        </w:rPr>
        <w:t>4</w:t>
      </w:r>
    </w:p>
    <w:p w14:paraId="0499E739" w14:textId="72583173" w:rsidR="00DE103B" w:rsidRPr="00DB3505" w:rsidRDefault="00F770E5" w:rsidP="00DE103B">
      <w:pPr>
        <w:jc w:val="center"/>
        <w:rPr>
          <w:rFonts w:ascii="Verdana" w:hAnsi="Verdana"/>
          <w:sz w:val="22"/>
          <w:szCs w:val="22"/>
        </w:rPr>
      </w:pPr>
      <w:r>
        <w:rPr>
          <w:rFonts w:ascii="Verdana" w:hAnsi="Verdana"/>
          <w:b/>
          <w:bCs/>
          <w:sz w:val="22"/>
          <w:szCs w:val="22"/>
        </w:rPr>
        <w:t>MILTON FABIAN FORERO MELO</w:t>
      </w:r>
    </w:p>
    <w:p w14:paraId="1ECFFF6B" w14:textId="6DB0E174" w:rsidR="00A724C4" w:rsidRPr="00657673" w:rsidRDefault="00F770E5" w:rsidP="00251F6B">
      <w:pPr>
        <w:jc w:val="center"/>
        <w:rPr>
          <w:rFonts w:ascii="Verdana" w:hAnsi="Verdana"/>
          <w:sz w:val="22"/>
          <w:szCs w:val="22"/>
        </w:rPr>
      </w:pPr>
      <w:r>
        <w:rPr>
          <w:rFonts w:ascii="Verdana" w:hAnsi="Verdana"/>
          <w:sz w:val="22"/>
          <w:szCs w:val="22"/>
        </w:rPr>
        <w:t>DIRECTOR GENERAL ENCARGADO</w:t>
      </w:r>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6F8E0" w14:textId="77777777" w:rsidR="00C4037E" w:rsidRDefault="00C4037E" w:rsidP="00251F6B">
      <w:pPr>
        <w:spacing w:after="0"/>
      </w:pPr>
      <w:r>
        <w:separator/>
      </w:r>
    </w:p>
  </w:endnote>
  <w:endnote w:type="continuationSeparator" w:id="0">
    <w:p w14:paraId="03BF7E40" w14:textId="77777777" w:rsidR="00C4037E" w:rsidRDefault="00C4037E" w:rsidP="00251F6B">
      <w:pPr>
        <w:spacing w:after="0"/>
      </w:pPr>
      <w:r>
        <w:continuationSeparator/>
      </w:r>
    </w:p>
  </w:endnote>
  <w:endnote w:id="1">
    <w:p w14:paraId="5615163D" w14:textId="303D86EB" w:rsidR="00F44C1C" w:rsidRPr="00F44C1C" w:rsidRDefault="00F44C1C">
      <w:pPr>
        <w:pStyle w:val="Textonotaalfinal"/>
        <w:rPr>
          <w:rFonts w:ascii="Verdana" w:hAnsi="Verdana"/>
          <w:lang w:val="es-MX"/>
        </w:rPr>
      </w:pPr>
      <w:r w:rsidRPr="00F44C1C">
        <w:rPr>
          <w:rStyle w:val="Refdenotaalfinal"/>
          <w:rFonts w:ascii="Verdana" w:hAnsi="Verdana"/>
          <w:sz w:val="14"/>
          <w:szCs w:val="14"/>
        </w:rPr>
        <w:endnoteRef/>
      </w:r>
      <w:r w:rsidRPr="00F44C1C">
        <w:rPr>
          <w:rFonts w:ascii="Verdana" w:hAnsi="Verdana"/>
          <w:sz w:val="14"/>
          <w:szCs w:val="14"/>
        </w:rPr>
        <w:t xml:space="preserve"> </w:t>
      </w:r>
      <w:r w:rsidRPr="00F44C1C">
        <w:rPr>
          <w:rFonts w:ascii="Verdana" w:hAnsi="Verdana"/>
          <w:sz w:val="14"/>
          <w:szCs w:val="14"/>
        </w:rPr>
        <w:t xml:space="preserve">  “Por medio del cual se expide el Decreto Único Reglamentario del Sector Hacienda y Crédito Público”</w:t>
      </w:r>
    </w:p>
  </w:endnote>
  <w:endnote w:id="2">
    <w:p w14:paraId="37D82DD1" w14:textId="639BEB68" w:rsidR="001502B8" w:rsidRPr="001502B8" w:rsidRDefault="001502B8">
      <w:pPr>
        <w:pStyle w:val="Textonotaalfinal"/>
        <w:rPr>
          <w:rFonts w:ascii="Verdana" w:hAnsi="Verdana"/>
          <w:lang w:val="es-MX"/>
        </w:rPr>
      </w:pPr>
      <w:r w:rsidRPr="001502B8">
        <w:rPr>
          <w:rStyle w:val="Refdenotaalfinal"/>
          <w:rFonts w:ascii="Verdana" w:hAnsi="Verdana"/>
          <w:sz w:val="14"/>
          <w:szCs w:val="14"/>
        </w:rPr>
        <w:endnoteRef/>
      </w:r>
      <w:r w:rsidRPr="001502B8">
        <w:rPr>
          <w:rFonts w:ascii="Verdana" w:hAnsi="Verdana"/>
          <w:sz w:val="14"/>
          <w:szCs w:val="14"/>
        </w:rPr>
        <w:t xml:space="preserve"> </w:t>
      </w:r>
      <w:r w:rsidRPr="001502B8">
        <w:rPr>
          <w:rFonts w:ascii="Verdana" w:hAnsi="Verdana"/>
          <w:sz w:val="14"/>
          <w:szCs w:val="14"/>
        </w:rPr>
        <w:t>“Por la cual se establece el Catálogo de Clasificación Presupuestal y se dictan otras disposiciones para su administración”.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06E42" w14:textId="77777777" w:rsidR="00C4037E" w:rsidRDefault="00C4037E" w:rsidP="00251F6B">
      <w:pPr>
        <w:spacing w:after="0"/>
      </w:pPr>
      <w:r>
        <w:separator/>
      </w:r>
    </w:p>
  </w:footnote>
  <w:footnote w:type="continuationSeparator" w:id="0">
    <w:p w14:paraId="3A929D9C" w14:textId="77777777" w:rsidR="00C4037E" w:rsidRDefault="00C4037E"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92069013">
    <w:abstractNumId w:val="3"/>
  </w:num>
  <w:num w:numId="2" w16cid:durableId="707920155">
    <w:abstractNumId w:val="0"/>
  </w:num>
  <w:num w:numId="3" w16cid:durableId="1520006266">
    <w:abstractNumId w:val="1"/>
  </w:num>
  <w:num w:numId="4" w16cid:durableId="1994868198">
    <w:abstractNumId w:val="4"/>
  </w:num>
  <w:num w:numId="5" w16cid:durableId="101999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0D0BEE"/>
    <w:rsid w:val="000D6943"/>
    <w:rsid w:val="000F567A"/>
    <w:rsid w:val="00143A2C"/>
    <w:rsid w:val="0014658E"/>
    <w:rsid w:val="001502B8"/>
    <w:rsid w:val="00243CB4"/>
    <w:rsid w:val="00251F6B"/>
    <w:rsid w:val="002806F2"/>
    <w:rsid w:val="002B259D"/>
    <w:rsid w:val="002C5CC7"/>
    <w:rsid w:val="00346F3A"/>
    <w:rsid w:val="003A5EDC"/>
    <w:rsid w:val="003B6C26"/>
    <w:rsid w:val="003C3330"/>
    <w:rsid w:val="003D2F74"/>
    <w:rsid w:val="003F6172"/>
    <w:rsid w:val="0040689A"/>
    <w:rsid w:val="004600F2"/>
    <w:rsid w:val="0046582E"/>
    <w:rsid w:val="0047169E"/>
    <w:rsid w:val="005041B1"/>
    <w:rsid w:val="00534960"/>
    <w:rsid w:val="00543054"/>
    <w:rsid w:val="00553090"/>
    <w:rsid w:val="005A2590"/>
    <w:rsid w:val="005C7A00"/>
    <w:rsid w:val="005D5138"/>
    <w:rsid w:val="006053FC"/>
    <w:rsid w:val="00657673"/>
    <w:rsid w:val="00677306"/>
    <w:rsid w:val="00692A8A"/>
    <w:rsid w:val="00693221"/>
    <w:rsid w:val="006976BF"/>
    <w:rsid w:val="006A1FBF"/>
    <w:rsid w:val="006A45F2"/>
    <w:rsid w:val="006B545B"/>
    <w:rsid w:val="006C2C20"/>
    <w:rsid w:val="006C543E"/>
    <w:rsid w:val="006D1939"/>
    <w:rsid w:val="006D5ECF"/>
    <w:rsid w:val="007136E8"/>
    <w:rsid w:val="007504D1"/>
    <w:rsid w:val="007637F1"/>
    <w:rsid w:val="0083436E"/>
    <w:rsid w:val="00863A26"/>
    <w:rsid w:val="008D18D4"/>
    <w:rsid w:val="00933C0C"/>
    <w:rsid w:val="0098549C"/>
    <w:rsid w:val="009B65B7"/>
    <w:rsid w:val="00A14EC4"/>
    <w:rsid w:val="00A51A14"/>
    <w:rsid w:val="00A724C4"/>
    <w:rsid w:val="00A9702F"/>
    <w:rsid w:val="00A97813"/>
    <w:rsid w:val="00AD4A99"/>
    <w:rsid w:val="00B64762"/>
    <w:rsid w:val="00B87F74"/>
    <w:rsid w:val="00BE115D"/>
    <w:rsid w:val="00C07F46"/>
    <w:rsid w:val="00C2424F"/>
    <w:rsid w:val="00C4037E"/>
    <w:rsid w:val="00C5648C"/>
    <w:rsid w:val="00D35493"/>
    <w:rsid w:val="00D5214B"/>
    <w:rsid w:val="00D84A62"/>
    <w:rsid w:val="00D902B0"/>
    <w:rsid w:val="00DA586D"/>
    <w:rsid w:val="00DB3505"/>
    <w:rsid w:val="00DE103B"/>
    <w:rsid w:val="00DE63C8"/>
    <w:rsid w:val="00E07225"/>
    <w:rsid w:val="00E76D4A"/>
    <w:rsid w:val="00E96AE6"/>
    <w:rsid w:val="00EA785D"/>
    <w:rsid w:val="00EC53B9"/>
    <w:rsid w:val="00F44C1C"/>
    <w:rsid w:val="00F770E5"/>
    <w:rsid w:val="00F83E5C"/>
    <w:rsid w:val="00FC3A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45880F8E-A302-4BA6-9AFB-59FFFD942C16}"/>
</file>

<file path=customXml/itemProps3.xml><?xml version="1.0" encoding="utf-8"?>
<ds:datastoreItem xmlns:ds="http://schemas.openxmlformats.org/officeDocument/2006/customXml" ds:itemID="{E7B051CD-BB74-431F-AB8C-A32084EDD931}"/>
</file>

<file path=customXml/itemProps4.xml><?xml version="1.0" encoding="utf-8"?>
<ds:datastoreItem xmlns:ds="http://schemas.openxmlformats.org/officeDocument/2006/customXml" ds:itemID="{25AE27CD-52EA-47B0-880B-5A07346D57E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218</TotalTime>
  <Pages>5</Pages>
  <Words>1906</Words>
  <Characters>10487</Characters>
  <Application>Microsoft Office Word</Application>
  <DocSecurity>0</DocSecurity>
  <Lines>87</Lines>
  <Paragraphs>24</Paragraphs>
  <ScaleCrop>false</ScaleCrop>
  <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64</cp:revision>
  <dcterms:created xsi:type="dcterms:W3CDTF">2026-03-03T16:25:00Z</dcterms:created>
  <dcterms:modified xsi:type="dcterms:W3CDTF">2026-03-22T23:03:00Z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