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F5B64" w14:textId="77777777" w:rsidR="00D83A30" w:rsidRDefault="00384530">
      <w:pPr>
        <w:spacing w:after="160" w:line="240" w:lineRule="auto"/>
        <w:jc w:val="center"/>
        <w:rPr>
          <w:rFonts w:ascii="Verdana" w:eastAsia="Verdana" w:hAnsi="Verdana" w:cs="Verdana"/>
          <w:b/>
          <w:bCs/>
        </w:rPr>
      </w:pPr>
      <w:r>
        <w:rPr>
          <w:rFonts w:ascii="Verdana" w:eastAsia="Verdana" w:hAnsi="Verdana" w:cs="Verdana"/>
          <w:b/>
          <w:bCs/>
        </w:rPr>
        <w:t>RESOLUCIÓN 1235 DE 2014</w:t>
      </w:r>
    </w:p>
    <w:p w14:paraId="47BD6E31" w14:textId="77777777" w:rsidR="001A3BC3" w:rsidRDefault="001A3BC3" w:rsidP="001A3BC3">
      <w:pPr>
        <w:pStyle w:val="Sinespaciado"/>
        <w:jc w:val="both"/>
      </w:pPr>
      <w:bookmarkStart w:id="0" w:name="_gkik43155102" w:colFirst="0" w:colLast="0"/>
      <w:bookmarkEnd w:id="0"/>
    </w:p>
    <w:p w14:paraId="0B2FFEAB" w14:textId="77777777" w:rsidR="001A3BC3" w:rsidRPr="001A3BC3" w:rsidRDefault="001A3BC3" w:rsidP="001A3BC3">
      <w:pPr>
        <w:pStyle w:val="Sinespaciado"/>
        <w:jc w:val="both"/>
        <w:rPr>
          <w:rFonts w:ascii="Verdana" w:hAnsi="Verdana"/>
          <w:sz w:val="20"/>
          <w:szCs w:val="20"/>
        </w:rPr>
      </w:pPr>
      <w:r w:rsidRPr="001A3BC3">
        <w:rPr>
          <w:rFonts w:ascii="Verdana" w:hAnsi="Verdana"/>
          <w:sz w:val="20"/>
          <w:szCs w:val="20"/>
        </w:rPr>
        <w:t>Fecha de Expedición: 4 de marzo de 2014</w:t>
      </w:r>
    </w:p>
    <w:p w14:paraId="4B499001" w14:textId="77777777" w:rsidR="001A3BC3" w:rsidRPr="001A3BC3" w:rsidRDefault="001A3BC3" w:rsidP="001A3BC3">
      <w:pPr>
        <w:pStyle w:val="Sinespaciado"/>
        <w:jc w:val="both"/>
        <w:rPr>
          <w:rFonts w:ascii="Verdana" w:hAnsi="Verdana"/>
          <w:sz w:val="20"/>
          <w:szCs w:val="20"/>
        </w:rPr>
      </w:pPr>
      <w:r w:rsidRPr="001A3BC3">
        <w:rPr>
          <w:rFonts w:ascii="Verdana" w:hAnsi="Verdana"/>
          <w:sz w:val="20"/>
          <w:szCs w:val="20"/>
        </w:rPr>
        <w:t>Fecha de entrada en vigencia: 4 de marzo de 2014</w:t>
      </w:r>
    </w:p>
    <w:p w14:paraId="602664CE" w14:textId="77777777" w:rsidR="001A3BC3" w:rsidRDefault="001A3BC3" w:rsidP="001A3BC3">
      <w:pPr>
        <w:pStyle w:val="Sinespaciado"/>
        <w:jc w:val="both"/>
        <w:rPr>
          <w:rFonts w:ascii="Verdana" w:hAnsi="Verdana"/>
          <w:sz w:val="20"/>
          <w:szCs w:val="20"/>
        </w:rPr>
      </w:pPr>
      <w:r w:rsidRPr="001A3BC3">
        <w:rPr>
          <w:rFonts w:ascii="Verdana" w:hAnsi="Verdana"/>
          <w:sz w:val="20"/>
          <w:szCs w:val="20"/>
        </w:rPr>
        <w:t>Estado de la vigencia: Vigente</w:t>
      </w:r>
    </w:p>
    <w:p w14:paraId="22F7DFBB" w14:textId="77777777" w:rsidR="001A3BC3" w:rsidRPr="001A3BC3" w:rsidRDefault="001A3BC3" w:rsidP="001A3BC3">
      <w:pPr>
        <w:pStyle w:val="Sinespaciado"/>
        <w:jc w:val="both"/>
        <w:rPr>
          <w:rFonts w:ascii="Verdana" w:hAnsi="Verdana"/>
          <w:sz w:val="20"/>
          <w:szCs w:val="20"/>
        </w:rPr>
      </w:pPr>
    </w:p>
    <w:p w14:paraId="3BF62900" w14:textId="3B6B9461" w:rsidR="001A3BC3" w:rsidRPr="001A3BC3" w:rsidRDefault="001A3BC3" w:rsidP="001A3BC3">
      <w:pPr>
        <w:pStyle w:val="Sinespaciado"/>
        <w:jc w:val="both"/>
        <w:rPr>
          <w:rFonts w:ascii="Verdana" w:hAnsi="Verdana"/>
          <w:sz w:val="20"/>
          <w:szCs w:val="20"/>
        </w:rPr>
      </w:pPr>
      <w:r w:rsidRPr="001A3BC3">
        <w:rPr>
          <w:rFonts w:ascii="Verdana" w:hAnsi="Verdana"/>
          <w:sz w:val="20"/>
          <w:szCs w:val="20"/>
        </w:rPr>
        <w:t>Fecha de publicación en Diario Oficial: N/A</w:t>
      </w:r>
    </w:p>
    <w:p w14:paraId="0472C341" w14:textId="6D8FA9A2" w:rsidR="001A3BC3" w:rsidRPr="001A3BC3" w:rsidRDefault="001A3BC3" w:rsidP="001A3BC3">
      <w:pPr>
        <w:pStyle w:val="Sinespaciado"/>
        <w:jc w:val="both"/>
        <w:rPr>
          <w:rFonts w:ascii="Verdana" w:hAnsi="Verdana"/>
          <w:sz w:val="20"/>
          <w:szCs w:val="20"/>
        </w:rPr>
      </w:pPr>
      <w:r w:rsidRPr="001A3BC3">
        <w:rPr>
          <w:rFonts w:ascii="Verdana" w:hAnsi="Verdana"/>
          <w:sz w:val="20"/>
          <w:szCs w:val="20"/>
        </w:rPr>
        <w:t>Número del Diario Oficial: N/A</w:t>
      </w:r>
    </w:p>
    <w:p w14:paraId="00EF244B" w14:textId="77777777" w:rsidR="001A3BC3" w:rsidRDefault="001A3BC3" w:rsidP="001A3BC3">
      <w:pPr>
        <w:pStyle w:val="Sinespaciado"/>
        <w:jc w:val="both"/>
      </w:pPr>
    </w:p>
    <w:p w14:paraId="7B527A13" w14:textId="138A9D33" w:rsidR="00D83A30" w:rsidRDefault="00384530">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1235 DE 2014</w:t>
      </w:r>
    </w:p>
    <w:p w14:paraId="26221381" w14:textId="77777777" w:rsidR="00D83A30" w:rsidRDefault="00384530">
      <w:pPr>
        <w:shd w:val="clear" w:color="auto" w:fill="FFFFFF"/>
        <w:spacing w:after="280" w:line="240" w:lineRule="auto"/>
        <w:jc w:val="center"/>
        <w:rPr>
          <w:rFonts w:ascii="Verdana" w:eastAsia="Verdana" w:hAnsi="Verdana" w:cs="Verdana"/>
          <w:b/>
          <w:bCs/>
        </w:rPr>
      </w:pPr>
      <w:r>
        <w:rPr>
          <w:rFonts w:ascii="Verdana" w:eastAsia="Verdana" w:hAnsi="Verdana" w:cs="Verdana"/>
          <w:b/>
          <w:bCs/>
        </w:rPr>
        <w:t>INSTITUTO COLOMBIANO DE BIENESTAR FAMILIAR</w:t>
      </w:r>
    </w:p>
    <w:p w14:paraId="04530539" w14:textId="77777777" w:rsidR="00D83A30" w:rsidRDefault="00384530">
      <w:pPr>
        <w:shd w:val="clear" w:color="auto" w:fill="FFFFFF"/>
        <w:spacing w:after="280" w:line="240" w:lineRule="auto"/>
        <w:jc w:val="center"/>
        <w:rPr>
          <w:rFonts w:ascii="Verdana" w:eastAsia="Verdana" w:hAnsi="Verdana" w:cs="Verdana"/>
        </w:rPr>
      </w:pPr>
      <w:r>
        <w:rPr>
          <w:rFonts w:ascii="Verdana" w:eastAsia="Verdana" w:hAnsi="Verdana" w:cs="Verdana"/>
        </w:rPr>
        <w:t>Por la cual se otorga delegación especial a la Directora Regional Bogotá del ICBF, con el fin de contratar la prestación de servicio público de transporte especial para el ICBF Regional Bogotá</w:t>
      </w:r>
    </w:p>
    <w:p w14:paraId="7FFC0883" w14:textId="77777777" w:rsidR="00D83A30" w:rsidRDefault="00384530">
      <w:pPr>
        <w:shd w:val="clear" w:color="auto" w:fill="FFFFFF"/>
        <w:spacing w:after="280" w:line="240" w:lineRule="auto"/>
        <w:jc w:val="center"/>
        <w:rPr>
          <w:rFonts w:ascii="Verdana" w:eastAsia="Verdana" w:hAnsi="Verdana" w:cs="Verdana"/>
          <w:b/>
          <w:bCs/>
        </w:rPr>
      </w:pPr>
      <w:r>
        <w:rPr>
          <w:rFonts w:ascii="Verdana" w:eastAsia="Verdana" w:hAnsi="Verdana" w:cs="Verdana"/>
          <w:b/>
          <w:bCs/>
        </w:rPr>
        <w:t>EL DIRECTOR GENERAL DEL INSTITUTO COLOMBIANO DE BIENESTAR FAMILIAR- ICBF CECILIA LA FUENTE DE LLERAS</w:t>
      </w:r>
    </w:p>
    <w:p w14:paraId="02DF7B43" w14:textId="504567B0" w:rsidR="00D83A30" w:rsidRDefault="00384530">
      <w:pPr>
        <w:shd w:val="clear" w:color="auto" w:fill="FFFFFF"/>
        <w:spacing w:after="280" w:line="240" w:lineRule="auto"/>
        <w:jc w:val="center"/>
        <w:rPr>
          <w:rFonts w:ascii="Verdana" w:eastAsia="Verdana" w:hAnsi="Verdana" w:cs="Verdana"/>
        </w:rPr>
      </w:pPr>
      <w:r>
        <w:rPr>
          <w:rFonts w:ascii="Verdana" w:eastAsia="Verdana" w:hAnsi="Verdana" w:cs="Verdana"/>
        </w:rPr>
        <w:t xml:space="preserve">En uso de sus facultades legales y estatutarias especialmente por lo dispuesto en el artículo </w:t>
      </w:r>
      <w:r w:rsidR="00D83A30">
        <w:rPr>
          <w:rFonts w:ascii="Verdana" w:eastAsia="Verdana" w:hAnsi="Verdana" w:cs="Verdana"/>
        </w:rPr>
        <w:t>37</w:t>
      </w:r>
      <w:r>
        <w:rPr>
          <w:rFonts w:ascii="Verdana" w:eastAsia="Verdana" w:hAnsi="Verdana" w:cs="Verdana"/>
        </w:rPr>
        <w:t xml:space="preserve"> del Decreto 2150 de 1995, artículo </w:t>
      </w:r>
      <w:r w:rsidR="00D83A30">
        <w:rPr>
          <w:rFonts w:ascii="Verdana" w:eastAsia="Verdana" w:hAnsi="Verdana" w:cs="Verdana"/>
        </w:rPr>
        <w:t>12</w:t>
      </w:r>
      <w:r>
        <w:rPr>
          <w:rFonts w:ascii="Verdana" w:eastAsia="Verdana" w:hAnsi="Verdana" w:cs="Verdana"/>
        </w:rPr>
        <w:t xml:space="preserve"> de la Ley 80 de 1993, artículo </w:t>
      </w:r>
      <w:r w:rsidR="00D83A30">
        <w:rPr>
          <w:rFonts w:ascii="Verdana" w:eastAsia="Verdana" w:hAnsi="Verdana" w:cs="Verdana"/>
        </w:rPr>
        <w:t>9</w:t>
      </w:r>
      <w:r>
        <w:rPr>
          <w:rFonts w:ascii="Verdana" w:eastAsia="Verdana" w:hAnsi="Verdana" w:cs="Verdana"/>
        </w:rPr>
        <w:t xml:space="preserve"> de la Ley 489 de 1998, la Resolución No. </w:t>
      </w:r>
      <w:r w:rsidR="00D83A30">
        <w:rPr>
          <w:rFonts w:ascii="Verdana" w:eastAsia="Verdana" w:hAnsi="Verdana" w:cs="Verdana"/>
        </w:rPr>
        <w:t>2690</w:t>
      </w:r>
      <w:r>
        <w:rPr>
          <w:rFonts w:ascii="Verdana" w:eastAsia="Verdana" w:hAnsi="Verdana" w:cs="Verdana"/>
        </w:rPr>
        <w:t xml:space="preserve"> de 14 de junio de 2012 (Manual de Contratación), el Decreto 882 de 2013 y el y Decreto 2281 de 2013 y</w:t>
      </w:r>
    </w:p>
    <w:p w14:paraId="52885B95" w14:textId="77777777" w:rsidR="00D83A30" w:rsidRDefault="00384530">
      <w:pPr>
        <w:shd w:val="clear" w:color="auto" w:fill="FFFFFF"/>
        <w:spacing w:after="280" w:line="240" w:lineRule="auto"/>
        <w:jc w:val="center"/>
        <w:rPr>
          <w:rFonts w:ascii="Verdana" w:eastAsia="Verdana" w:hAnsi="Verdana" w:cs="Verdana"/>
          <w:b/>
          <w:bCs/>
        </w:rPr>
      </w:pPr>
      <w:r>
        <w:rPr>
          <w:rFonts w:ascii="Verdana" w:eastAsia="Verdana" w:hAnsi="Verdana" w:cs="Verdana"/>
          <w:b/>
          <w:bCs/>
        </w:rPr>
        <w:t>CONSIDERANDO:</w:t>
      </w:r>
    </w:p>
    <w:p w14:paraId="542E3D58" w14:textId="7BC35C7D" w:rsidR="00D83A30" w:rsidRDefault="00384530">
      <w:pPr>
        <w:shd w:val="clear" w:color="auto" w:fill="FFFFFF"/>
        <w:spacing w:after="280" w:line="240" w:lineRule="auto"/>
        <w:jc w:val="both"/>
        <w:rPr>
          <w:rFonts w:ascii="Verdana" w:eastAsia="Verdana" w:hAnsi="Verdana" w:cs="Verdana"/>
          <w:i/>
          <w:iCs/>
        </w:rPr>
      </w:pPr>
      <w:r>
        <w:rPr>
          <w:rFonts w:ascii="Verdana" w:eastAsia="Verdana" w:hAnsi="Verdana" w:cs="Verdana"/>
        </w:rPr>
        <w:t xml:space="preserve">Que el numeral 1.2.3. de la Resolución </w:t>
      </w:r>
      <w:r w:rsidR="00D83A30">
        <w:rPr>
          <w:rFonts w:ascii="Verdana" w:eastAsia="Verdana" w:hAnsi="Verdana" w:cs="Verdana"/>
        </w:rPr>
        <w:t>2690</w:t>
      </w:r>
      <w:r>
        <w:rPr>
          <w:rFonts w:ascii="Verdana" w:eastAsia="Verdana" w:hAnsi="Verdana" w:cs="Verdana"/>
        </w:rPr>
        <w:t xml:space="preserve"> del 14 de junio de 2012 por medio de la cual se expidió el Manual de Contratación del Instituto Colombiano de Bienestar Familiar, establece respecto de la delegación de ordenación del gasto, que los Directores de las Regionales podrán </w:t>
      </w:r>
      <w:r>
        <w:rPr>
          <w:rFonts w:ascii="Verdana" w:eastAsia="Verdana" w:hAnsi="Verdana" w:cs="Verdana"/>
          <w:i/>
          <w:iCs/>
        </w:rPr>
        <w:t>“Adelantar procesos de selección y celebrar contratos o convenios para los asuntos de su jurisdicción, cuya cuantía sea de hasta 1.000 SMLMV y contratos de aporte hasta por 5.000 SMLMV, salvo aquellos delegados exclusivamente a otros servidores públicos de la Sede de la Direc</w:t>
      </w:r>
      <w:r>
        <w:rPr>
          <w:rFonts w:ascii="Verdana" w:eastAsia="Verdana" w:hAnsi="Verdana" w:cs="Verdana"/>
          <w:i/>
          <w:iCs/>
        </w:rPr>
        <w:t>ción General. (…)”</w:t>
      </w:r>
    </w:p>
    <w:p w14:paraId="0CF43E20" w14:textId="77777777" w:rsidR="00D83A30" w:rsidRDefault="00384530">
      <w:pPr>
        <w:shd w:val="clear" w:color="auto" w:fill="FFFFFF"/>
        <w:spacing w:after="280" w:line="240" w:lineRule="auto"/>
        <w:jc w:val="both"/>
        <w:rPr>
          <w:rFonts w:ascii="Verdana" w:eastAsia="Verdana" w:hAnsi="Verdana" w:cs="Verdana"/>
        </w:rPr>
      </w:pPr>
      <w:r>
        <w:rPr>
          <w:rFonts w:ascii="Verdana" w:eastAsia="Verdana" w:hAnsi="Verdana" w:cs="Verdana"/>
        </w:rPr>
        <w:t>Que en ese mismo sentido, el número 1.2.5 de la citada Resolución ibídem, establece que “la realización de procesos de selección o celebración de contratos o convenios que superen las cuantías o excedan la delegación señalada por parte de las Direcciones Regionales, requerirá delegación especial, la cual será otorgada por la Dirección General.</w:t>
      </w:r>
    </w:p>
    <w:p w14:paraId="11000D59" w14:textId="77777777" w:rsidR="00D83A30" w:rsidRDefault="00384530">
      <w:pPr>
        <w:shd w:val="clear" w:color="auto" w:fill="FFFFFF"/>
        <w:spacing w:after="280" w:line="240" w:lineRule="auto"/>
        <w:jc w:val="both"/>
        <w:rPr>
          <w:rFonts w:ascii="Verdana" w:eastAsia="Verdana" w:hAnsi="Verdana" w:cs="Verdana"/>
        </w:rPr>
      </w:pPr>
      <w:r>
        <w:rPr>
          <w:rFonts w:ascii="Verdana" w:eastAsia="Verdana" w:hAnsi="Verdana" w:cs="Verdana"/>
        </w:rPr>
        <w:t xml:space="preserve">Que teniendo en cuenta que el ICBF es una entidad de Servicio Público comprometida con la protección integral de la Familia y en especial de la Niñez, </w:t>
      </w:r>
      <w:r>
        <w:rPr>
          <w:rFonts w:ascii="Verdana" w:eastAsia="Verdana" w:hAnsi="Verdana" w:cs="Verdana"/>
        </w:rPr>
        <w:lastRenderedPageBreak/>
        <w:t>cuyas actividades son específicamente destinadas al cumplimiento de este objeto; la cual necesita la contratación del servicio público de transporte especial con el fin de garantizar el buen funcionamiento de todas las dependencias y facilitar la ejecución de las labores cotidianas de los servicios públicos y contratistas, encaminadas al cumplimiento de los objetivos institucionales, para de esta forma brindar soporte a todas las áreas que desarrollan las actividades propias de los procesos misionales, de a</w:t>
      </w:r>
      <w:r>
        <w:rPr>
          <w:rFonts w:ascii="Verdana" w:eastAsia="Verdana" w:hAnsi="Verdana" w:cs="Verdana"/>
        </w:rPr>
        <w:t>poyo y de evaluación, y así prestar el Servicio Público de Bienestar Familiar con calidad y eficiencia, en beneficio de la población usuaria de los programas del ICBF en el área de influencia de la Regional Bogotá.</w:t>
      </w:r>
    </w:p>
    <w:p w14:paraId="4A0CB9E4" w14:textId="77777777" w:rsidR="00D83A30" w:rsidRDefault="00384530">
      <w:pPr>
        <w:shd w:val="clear" w:color="auto" w:fill="FFFFFF"/>
        <w:spacing w:after="280" w:line="240" w:lineRule="auto"/>
        <w:jc w:val="both"/>
        <w:rPr>
          <w:rFonts w:ascii="Verdana" w:eastAsia="Verdana" w:hAnsi="Verdana" w:cs="Verdana"/>
        </w:rPr>
      </w:pPr>
      <w:r>
        <w:rPr>
          <w:rFonts w:ascii="Verdana" w:eastAsia="Verdana" w:hAnsi="Verdana" w:cs="Verdana"/>
        </w:rPr>
        <w:t>De otra parte, considerando que el parque automotor con que actualmente cuenta la regional Bogotá, y que se encuentra prestando el servicio, no es suficiente para satisfacer las necesidades existentes en la Sede Regional y los Centros Zonales, se requiere contratar la prestación del servicio especial de transporte con vehículos que estén en disposición de prestar el servicio 24 horas del día, durante los siete días de la semana, teniendo en cuenta que el Instituto debe prestar el servicio público de Bienest</w:t>
      </w:r>
      <w:r>
        <w:rPr>
          <w:rFonts w:ascii="Verdana" w:eastAsia="Verdana" w:hAnsi="Verdana" w:cs="Verdana"/>
        </w:rPr>
        <w:t>ar Familiar en forma permanente.</w:t>
      </w:r>
    </w:p>
    <w:p w14:paraId="65444042" w14:textId="77777777" w:rsidR="00D83A30" w:rsidRDefault="00384530">
      <w:pPr>
        <w:shd w:val="clear" w:color="auto" w:fill="FFFFFF"/>
        <w:spacing w:after="280" w:line="240" w:lineRule="auto"/>
        <w:jc w:val="both"/>
        <w:rPr>
          <w:rFonts w:ascii="Verdana" w:eastAsia="Verdana" w:hAnsi="Verdana" w:cs="Verdana"/>
        </w:rPr>
      </w:pPr>
      <w:r>
        <w:rPr>
          <w:rFonts w:ascii="Verdana" w:eastAsia="Verdana" w:hAnsi="Verdana" w:cs="Verdana"/>
        </w:rPr>
        <w:t>La regional Bogotá cuenta con los recursos asignados en el Presupuesto de la Inversión 2014 para amparar el contrato, por lo cual el Grupo Administrativo considera viable que se realice el contrato afectando los siguientes indicadores presupuestales:</w:t>
      </w:r>
    </w:p>
    <w:tbl>
      <w:tblPr>
        <w:tblStyle w:val="a0"/>
        <w:tblW w:w="86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5"/>
        <w:gridCol w:w="4425"/>
        <w:gridCol w:w="1980"/>
      </w:tblGrid>
      <w:tr w:rsidR="00D83A30" w14:paraId="1A6538C7" w14:textId="77777777">
        <w:trPr>
          <w:trHeight w:val="540"/>
        </w:trPr>
        <w:tc>
          <w:tcPr>
            <w:tcW w:w="2265" w:type="dxa"/>
            <w:tcBorders>
              <w:top w:val="nil"/>
              <w:left w:val="nil"/>
              <w:bottom w:val="nil"/>
              <w:right w:val="nil"/>
            </w:tcBorders>
            <w:tcMar>
              <w:top w:w="0" w:type="dxa"/>
              <w:left w:w="0" w:type="dxa"/>
              <w:bottom w:w="0" w:type="dxa"/>
              <w:right w:w="0" w:type="dxa"/>
            </w:tcMar>
          </w:tcPr>
          <w:p w14:paraId="06621B6B" w14:textId="77777777" w:rsidR="00D83A30" w:rsidRDefault="00384530">
            <w:pPr>
              <w:shd w:val="clear" w:color="auto" w:fill="FFFFFF"/>
              <w:spacing w:line="240" w:lineRule="auto"/>
              <w:jc w:val="both"/>
              <w:rPr>
                <w:rFonts w:ascii="Verdana" w:eastAsia="Verdana" w:hAnsi="Verdana" w:cs="Verdana"/>
              </w:rPr>
            </w:pPr>
            <w:r>
              <w:rPr>
                <w:rFonts w:ascii="Verdana" w:eastAsia="Verdana" w:hAnsi="Verdana" w:cs="Verdana"/>
                <w:i/>
                <w:iCs/>
              </w:rPr>
              <w:t>C-310-300-2-0-110</w:t>
            </w:r>
          </w:p>
        </w:tc>
        <w:tc>
          <w:tcPr>
            <w:tcW w:w="4425" w:type="dxa"/>
            <w:tcBorders>
              <w:top w:val="nil"/>
              <w:left w:val="nil"/>
              <w:bottom w:val="nil"/>
              <w:right w:val="nil"/>
            </w:tcBorders>
            <w:tcMar>
              <w:top w:w="0" w:type="dxa"/>
              <w:left w:w="0" w:type="dxa"/>
              <w:bottom w:w="0" w:type="dxa"/>
              <w:right w:w="0" w:type="dxa"/>
            </w:tcMar>
          </w:tcPr>
          <w:p w14:paraId="7CC27983" w14:textId="77777777" w:rsidR="00D83A30" w:rsidRDefault="00384530">
            <w:pPr>
              <w:shd w:val="clear" w:color="auto" w:fill="FFFFFF"/>
              <w:spacing w:line="240" w:lineRule="auto"/>
              <w:jc w:val="both"/>
              <w:rPr>
                <w:rFonts w:ascii="Verdana" w:eastAsia="Verdana" w:hAnsi="Verdana" w:cs="Verdana"/>
              </w:rPr>
            </w:pPr>
            <w:r>
              <w:rPr>
                <w:rFonts w:ascii="Verdana" w:eastAsia="Verdana" w:hAnsi="Verdana" w:cs="Verdana"/>
                <w:i/>
                <w:iCs/>
              </w:rPr>
              <w:t>Soporte a la Gestión del Proyecto- de tipo administrativo</w:t>
            </w:r>
          </w:p>
        </w:tc>
        <w:tc>
          <w:tcPr>
            <w:tcW w:w="1980" w:type="dxa"/>
            <w:tcBorders>
              <w:top w:val="nil"/>
              <w:left w:val="nil"/>
              <w:bottom w:val="nil"/>
              <w:right w:val="nil"/>
            </w:tcBorders>
            <w:tcMar>
              <w:top w:w="0" w:type="dxa"/>
              <w:left w:w="0" w:type="dxa"/>
              <w:bottom w:w="0" w:type="dxa"/>
              <w:right w:w="0" w:type="dxa"/>
            </w:tcMar>
          </w:tcPr>
          <w:p w14:paraId="4BBC85C8" w14:textId="77777777" w:rsidR="00D83A30" w:rsidRDefault="00384530">
            <w:pPr>
              <w:shd w:val="clear" w:color="auto" w:fill="FFFFFF"/>
              <w:spacing w:line="240" w:lineRule="auto"/>
              <w:jc w:val="right"/>
              <w:rPr>
                <w:rFonts w:ascii="Verdana" w:eastAsia="Verdana" w:hAnsi="Verdana" w:cs="Verdana"/>
              </w:rPr>
            </w:pPr>
            <w:r>
              <w:rPr>
                <w:rFonts w:ascii="Verdana" w:eastAsia="Verdana" w:hAnsi="Verdana" w:cs="Verdana"/>
                <w:i/>
                <w:iCs/>
              </w:rPr>
              <w:t>$138.122.000</w:t>
            </w:r>
          </w:p>
        </w:tc>
      </w:tr>
      <w:tr w:rsidR="00D83A30" w14:paraId="4FFD4F2D" w14:textId="77777777">
        <w:trPr>
          <w:trHeight w:val="540"/>
        </w:trPr>
        <w:tc>
          <w:tcPr>
            <w:tcW w:w="2265" w:type="dxa"/>
            <w:tcBorders>
              <w:top w:val="nil"/>
              <w:left w:val="nil"/>
              <w:bottom w:val="nil"/>
              <w:right w:val="nil"/>
            </w:tcBorders>
            <w:tcMar>
              <w:top w:w="0" w:type="dxa"/>
              <w:left w:w="0" w:type="dxa"/>
              <w:bottom w:w="0" w:type="dxa"/>
              <w:right w:w="0" w:type="dxa"/>
            </w:tcMar>
          </w:tcPr>
          <w:p w14:paraId="383FEC15" w14:textId="77777777" w:rsidR="00D83A30" w:rsidRDefault="00384530">
            <w:pPr>
              <w:shd w:val="clear" w:color="auto" w:fill="FFFFFF"/>
              <w:spacing w:line="240" w:lineRule="auto"/>
              <w:jc w:val="both"/>
              <w:rPr>
                <w:rFonts w:ascii="Verdana" w:eastAsia="Verdana" w:hAnsi="Verdana" w:cs="Verdana"/>
              </w:rPr>
            </w:pPr>
            <w:r>
              <w:rPr>
                <w:rFonts w:ascii="Verdana" w:eastAsia="Verdana" w:hAnsi="Verdana" w:cs="Verdana"/>
                <w:i/>
                <w:iCs/>
              </w:rPr>
              <w:t>C-320-1504-6-0-107</w:t>
            </w:r>
          </w:p>
        </w:tc>
        <w:tc>
          <w:tcPr>
            <w:tcW w:w="4425" w:type="dxa"/>
            <w:tcBorders>
              <w:top w:val="nil"/>
              <w:left w:val="nil"/>
              <w:bottom w:val="nil"/>
              <w:right w:val="nil"/>
            </w:tcBorders>
            <w:tcMar>
              <w:top w:w="0" w:type="dxa"/>
              <w:left w:w="0" w:type="dxa"/>
              <w:bottom w:w="0" w:type="dxa"/>
              <w:right w:w="0" w:type="dxa"/>
            </w:tcMar>
          </w:tcPr>
          <w:p w14:paraId="0750A78A" w14:textId="77777777" w:rsidR="00D83A30" w:rsidRDefault="00384530">
            <w:pPr>
              <w:shd w:val="clear" w:color="auto" w:fill="FFFFFF"/>
              <w:spacing w:line="240" w:lineRule="auto"/>
              <w:jc w:val="both"/>
              <w:rPr>
                <w:rFonts w:ascii="Verdana" w:eastAsia="Verdana" w:hAnsi="Verdana" w:cs="Verdana"/>
              </w:rPr>
            </w:pPr>
            <w:r>
              <w:rPr>
                <w:rFonts w:ascii="Verdana" w:eastAsia="Verdana" w:hAnsi="Verdana" w:cs="Verdana"/>
                <w:i/>
                <w:iCs/>
              </w:rPr>
              <w:t>Soporte a la Gestión del Proyecto- de tipo Administrativo</w:t>
            </w:r>
          </w:p>
        </w:tc>
        <w:tc>
          <w:tcPr>
            <w:tcW w:w="1980" w:type="dxa"/>
            <w:tcBorders>
              <w:top w:val="nil"/>
              <w:left w:val="nil"/>
              <w:bottom w:val="nil"/>
              <w:right w:val="nil"/>
            </w:tcBorders>
            <w:tcMar>
              <w:top w:w="0" w:type="dxa"/>
              <w:left w:w="0" w:type="dxa"/>
              <w:bottom w:w="0" w:type="dxa"/>
              <w:right w:w="0" w:type="dxa"/>
            </w:tcMar>
          </w:tcPr>
          <w:p w14:paraId="3C381EAB" w14:textId="77777777" w:rsidR="00D83A30" w:rsidRDefault="00384530">
            <w:pPr>
              <w:shd w:val="clear" w:color="auto" w:fill="FFFFFF"/>
              <w:spacing w:line="240" w:lineRule="auto"/>
              <w:jc w:val="right"/>
              <w:rPr>
                <w:rFonts w:ascii="Verdana" w:eastAsia="Verdana" w:hAnsi="Verdana" w:cs="Verdana"/>
              </w:rPr>
            </w:pPr>
            <w:r>
              <w:rPr>
                <w:rFonts w:ascii="Verdana" w:eastAsia="Verdana" w:hAnsi="Verdana" w:cs="Verdana"/>
                <w:i/>
                <w:iCs/>
              </w:rPr>
              <w:t>$24.896.217</w:t>
            </w:r>
          </w:p>
        </w:tc>
      </w:tr>
      <w:tr w:rsidR="00D83A30" w14:paraId="1CCF2DE2" w14:textId="77777777">
        <w:trPr>
          <w:trHeight w:val="540"/>
        </w:trPr>
        <w:tc>
          <w:tcPr>
            <w:tcW w:w="2265" w:type="dxa"/>
            <w:tcBorders>
              <w:top w:val="nil"/>
              <w:left w:val="nil"/>
              <w:bottom w:val="nil"/>
              <w:right w:val="nil"/>
            </w:tcBorders>
            <w:tcMar>
              <w:top w:w="0" w:type="dxa"/>
              <w:left w:w="0" w:type="dxa"/>
              <w:bottom w:w="0" w:type="dxa"/>
              <w:right w:w="0" w:type="dxa"/>
            </w:tcMar>
          </w:tcPr>
          <w:p w14:paraId="43D34F02" w14:textId="77777777" w:rsidR="00D83A30" w:rsidRDefault="00384530">
            <w:pPr>
              <w:shd w:val="clear" w:color="auto" w:fill="FFFFFF"/>
              <w:spacing w:line="240" w:lineRule="auto"/>
              <w:jc w:val="both"/>
              <w:rPr>
                <w:rFonts w:ascii="Verdana" w:eastAsia="Verdana" w:hAnsi="Verdana" w:cs="Verdana"/>
              </w:rPr>
            </w:pPr>
            <w:r>
              <w:rPr>
                <w:rFonts w:ascii="Verdana" w:eastAsia="Verdana" w:hAnsi="Verdana" w:cs="Verdana"/>
                <w:i/>
                <w:iCs/>
              </w:rPr>
              <w:t>C-320-1504-7-0-114</w:t>
            </w:r>
          </w:p>
        </w:tc>
        <w:tc>
          <w:tcPr>
            <w:tcW w:w="4425" w:type="dxa"/>
            <w:tcBorders>
              <w:top w:val="nil"/>
              <w:left w:val="nil"/>
              <w:bottom w:val="nil"/>
              <w:right w:val="nil"/>
            </w:tcBorders>
            <w:tcMar>
              <w:top w:w="0" w:type="dxa"/>
              <w:left w:w="0" w:type="dxa"/>
              <w:bottom w:w="0" w:type="dxa"/>
              <w:right w:w="0" w:type="dxa"/>
            </w:tcMar>
          </w:tcPr>
          <w:p w14:paraId="1C8ADB84" w14:textId="77777777" w:rsidR="00D83A30" w:rsidRDefault="00384530">
            <w:pPr>
              <w:shd w:val="clear" w:color="auto" w:fill="FFFFFF"/>
              <w:spacing w:line="240" w:lineRule="auto"/>
              <w:jc w:val="both"/>
              <w:rPr>
                <w:rFonts w:ascii="Verdana" w:eastAsia="Verdana" w:hAnsi="Verdana" w:cs="Verdana"/>
              </w:rPr>
            </w:pPr>
            <w:r>
              <w:rPr>
                <w:rFonts w:ascii="Verdana" w:eastAsia="Verdana" w:hAnsi="Verdana" w:cs="Verdana"/>
                <w:i/>
                <w:iCs/>
              </w:rPr>
              <w:t>Soporte a la Gestión del Proyecto - de tipo Administrativo</w:t>
            </w:r>
          </w:p>
        </w:tc>
        <w:tc>
          <w:tcPr>
            <w:tcW w:w="1980" w:type="dxa"/>
            <w:tcBorders>
              <w:top w:val="nil"/>
              <w:left w:val="nil"/>
              <w:bottom w:val="nil"/>
              <w:right w:val="nil"/>
            </w:tcBorders>
            <w:tcMar>
              <w:top w:w="0" w:type="dxa"/>
              <w:left w:w="0" w:type="dxa"/>
              <w:bottom w:w="0" w:type="dxa"/>
              <w:right w:w="0" w:type="dxa"/>
            </w:tcMar>
          </w:tcPr>
          <w:p w14:paraId="16141DFD" w14:textId="77777777" w:rsidR="00D83A30" w:rsidRDefault="00384530">
            <w:pPr>
              <w:shd w:val="clear" w:color="auto" w:fill="FFFFFF"/>
              <w:spacing w:line="240" w:lineRule="auto"/>
              <w:jc w:val="right"/>
              <w:rPr>
                <w:rFonts w:ascii="Verdana" w:eastAsia="Verdana" w:hAnsi="Verdana" w:cs="Verdana"/>
              </w:rPr>
            </w:pPr>
            <w:r>
              <w:rPr>
                <w:rFonts w:ascii="Verdana" w:eastAsia="Verdana" w:hAnsi="Verdana" w:cs="Verdana"/>
                <w:i/>
                <w:iCs/>
              </w:rPr>
              <w:t>$811.120.849</w:t>
            </w:r>
          </w:p>
        </w:tc>
      </w:tr>
      <w:tr w:rsidR="00D83A30" w14:paraId="5A989B6C" w14:textId="77777777">
        <w:trPr>
          <w:trHeight w:val="540"/>
        </w:trPr>
        <w:tc>
          <w:tcPr>
            <w:tcW w:w="2265" w:type="dxa"/>
            <w:tcBorders>
              <w:top w:val="nil"/>
              <w:left w:val="nil"/>
              <w:bottom w:val="nil"/>
              <w:right w:val="nil"/>
            </w:tcBorders>
            <w:tcMar>
              <w:top w:w="0" w:type="dxa"/>
              <w:left w:w="0" w:type="dxa"/>
              <w:bottom w:w="0" w:type="dxa"/>
              <w:right w:w="0" w:type="dxa"/>
            </w:tcMar>
          </w:tcPr>
          <w:p w14:paraId="531FE8B4" w14:textId="77777777" w:rsidR="00D83A30" w:rsidRDefault="00384530">
            <w:pPr>
              <w:shd w:val="clear" w:color="auto" w:fill="FFFFFF"/>
              <w:spacing w:line="240" w:lineRule="auto"/>
              <w:jc w:val="both"/>
              <w:rPr>
                <w:rFonts w:ascii="Verdana" w:eastAsia="Verdana" w:hAnsi="Verdana" w:cs="Verdana"/>
              </w:rPr>
            </w:pPr>
            <w:r>
              <w:rPr>
                <w:rFonts w:ascii="Verdana" w:eastAsia="Verdana" w:hAnsi="Verdana" w:cs="Verdana"/>
                <w:i/>
                <w:iCs/>
              </w:rPr>
              <w:t>C-320-1504-11-0-106</w:t>
            </w:r>
          </w:p>
        </w:tc>
        <w:tc>
          <w:tcPr>
            <w:tcW w:w="4425" w:type="dxa"/>
            <w:tcBorders>
              <w:top w:val="nil"/>
              <w:left w:val="nil"/>
              <w:bottom w:val="nil"/>
              <w:right w:val="nil"/>
            </w:tcBorders>
            <w:tcMar>
              <w:top w:w="0" w:type="dxa"/>
              <w:left w:w="0" w:type="dxa"/>
              <w:bottom w:w="0" w:type="dxa"/>
              <w:right w:w="0" w:type="dxa"/>
            </w:tcMar>
          </w:tcPr>
          <w:p w14:paraId="0A2F24AD" w14:textId="77777777" w:rsidR="00D83A30" w:rsidRDefault="00384530">
            <w:pPr>
              <w:shd w:val="clear" w:color="auto" w:fill="FFFFFF"/>
              <w:spacing w:line="240" w:lineRule="auto"/>
              <w:jc w:val="both"/>
              <w:rPr>
                <w:rFonts w:ascii="Verdana" w:eastAsia="Verdana" w:hAnsi="Verdana" w:cs="Verdana"/>
              </w:rPr>
            </w:pPr>
            <w:r>
              <w:rPr>
                <w:rFonts w:ascii="Verdana" w:eastAsia="Verdana" w:hAnsi="Verdana" w:cs="Verdana"/>
                <w:i/>
                <w:iCs/>
              </w:rPr>
              <w:t>Soporte a la Gestión del Proyecto- de tipo Administrativo</w:t>
            </w:r>
          </w:p>
        </w:tc>
        <w:tc>
          <w:tcPr>
            <w:tcW w:w="1980" w:type="dxa"/>
            <w:tcBorders>
              <w:top w:val="nil"/>
              <w:left w:val="nil"/>
              <w:bottom w:val="nil"/>
              <w:right w:val="nil"/>
            </w:tcBorders>
            <w:tcMar>
              <w:top w:w="0" w:type="dxa"/>
              <w:left w:w="0" w:type="dxa"/>
              <w:bottom w:w="0" w:type="dxa"/>
              <w:right w:w="0" w:type="dxa"/>
            </w:tcMar>
          </w:tcPr>
          <w:p w14:paraId="4D9EA7CF" w14:textId="77777777" w:rsidR="00D83A30" w:rsidRDefault="00384530">
            <w:pPr>
              <w:shd w:val="clear" w:color="auto" w:fill="FFFFFF"/>
              <w:spacing w:line="240" w:lineRule="auto"/>
              <w:jc w:val="right"/>
              <w:rPr>
                <w:rFonts w:ascii="Verdana" w:eastAsia="Verdana" w:hAnsi="Verdana" w:cs="Verdana"/>
              </w:rPr>
            </w:pPr>
            <w:r>
              <w:rPr>
                <w:rFonts w:ascii="Verdana" w:eastAsia="Verdana" w:hAnsi="Verdana" w:cs="Verdana"/>
                <w:i/>
                <w:iCs/>
              </w:rPr>
              <w:t>$43.568.379</w:t>
            </w:r>
          </w:p>
        </w:tc>
      </w:tr>
      <w:tr w:rsidR="00D83A30" w14:paraId="2E6A3478" w14:textId="77777777">
        <w:trPr>
          <w:trHeight w:val="540"/>
        </w:trPr>
        <w:tc>
          <w:tcPr>
            <w:tcW w:w="2265" w:type="dxa"/>
            <w:tcBorders>
              <w:top w:val="nil"/>
              <w:left w:val="nil"/>
              <w:bottom w:val="nil"/>
              <w:right w:val="nil"/>
            </w:tcBorders>
            <w:tcMar>
              <w:top w:w="0" w:type="dxa"/>
              <w:left w:w="0" w:type="dxa"/>
              <w:bottom w:w="0" w:type="dxa"/>
              <w:right w:w="0" w:type="dxa"/>
            </w:tcMar>
          </w:tcPr>
          <w:p w14:paraId="2B8F554D" w14:textId="77777777" w:rsidR="00D83A30" w:rsidRDefault="00384530">
            <w:pPr>
              <w:shd w:val="clear" w:color="auto" w:fill="FFFFFF"/>
              <w:spacing w:line="240" w:lineRule="auto"/>
              <w:jc w:val="both"/>
              <w:rPr>
                <w:rFonts w:ascii="Verdana" w:eastAsia="Verdana" w:hAnsi="Verdana" w:cs="Verdana"/>
              </w:rPr>
            </w:pPr>
            <w:r>
              <w:rPr>
                <w:rFonts w:ascii="Verdana" w:eastAsia="Verdana" w:hAnsi="Verdana" w:cs="Verdana"/>
                <w:i/>
                <w:iCs/>
              </w:rPr>
              <w:t>C-320-1504-13-0-110</w:t>
            </w:r>
          </w:p>
        </w:tc>
        <w:tc>
          <w:tcPr>
            <w:tcW w:w="4425" w:type="dxa"/>
            <w:tcBorders>
              <w:top w:val="nil"/>
              <w:left w:val="nil"/>
              <w:bottom w:val="nil"/>
              <w:right w:val="nil"/>
            </w:tcBorders>
            <w:tcMar>
              <w:top w:w="0" w:type="dxa"/>
              <w:left w:w="0" w:type="dxa"/>
              <w:bottom w:w="0" w:type="dxa"/>
              <w:right w:w="0" w:type="dxa"/>
            </w:tcMar>
          </w:tcPr>
          <w:p w14:paraId="34C8475C" w14:textId="77777777" w:rsidR="00D83A30" w:rsidRDefault="00384530">
            <w:pPr>
              <w:shd w:val="clear" w:color="auto" w:fill="FFFFFF"/>
              <w:spacing w:line="240" w:lineRule="auto"/>
              <w:jc w:val="both"/>
              <w:rPr>
                <w:rFonts w:ascii="Verdana" w:eastAsia="Verdana" w:hAnsi="Verdana" w:cs="Verdana"/>
              </w:rPr>
            </w:pPr>
            <w:r>
              <w:rPr>
                <w:rFonts w:ascii="Verdana" w:eastAsia="Verdana" w:hAnsi="Verdana" w:cs="Verdana"/>
                <w:i/>
                <w:iCs/>
              </w:rPr>
              <w:t>Soporte a la Gestión del Proyecto- de tipo Administrativo</w:t>
            </w:r>
          </w:p>
        </w:tc>
        <w:tc>
          <w:tcPr>
            <w:tcW w:w="1980" w:type="dxa"/>
            <w:tcBorders>
              <w:top w:val="nil"/>
              <w:left w:val="nil"/>
              <w:bottom w:val="nil"/>
              <w:right w:val="nil"/>
            </w:tcBorders>
            <w:tcMar>
              <w:top w:w="0" w:type="dxa"/>
              <w:left w:w="0" w:type="dxa"/>
              <w:bottom w:w="0" w:type="dxa"/>
              <w:right w:w="0" w:type="dxa"/>
            </w:tcMar>
          </w:tcPr>
          <w:p w14:paraId="02666CD7" w14:textId="77777777" w:rsidR="00D83A30" w:rsidRDefault="00384530">
            <w:pPr>
              <w:shd w:val="clear" w:color="auto" w:fill="FFFFFF"/>
              <w:spacing w:line="240" w:lineRule="auto"/>
              <w:jc w:val="right"/>
              <w:rPr>
                <w:rFonts w:ascii="Verdana" w:eastAsia="Verdana" w:hAnsi="Verdana" w:cs="Verdana"/>
              </w:rPr>
            </w:pPr>
            <w:r>
              <w:rPr>
                <w:rFonts w:ascii="Verdana" w:eastAsia="Verdana" w:hAnsi="Verdana" w:cs="Verdana"/>
                <w:i/>
                <w:iCs/>
              </w:rPr>
              <w:t>$93.360.812</w:t>
            </w:r>
          </w:p>
        </w:tc>
      </w:tr>
      <w:tr w:rsidR="00D83A30" w14:paraId="228D423F" w14:textId="77777777">
        <w:trPr>
          <w:trHeight w:val="270"/>
        </w:trPr>
        <w:tc>
          <w:tcPr>
            <w:tcW w:w="2265" w:type="dxa"/>
            <w:tcBorders>
              <w:top w:val="nil"/>
              <w:left w:val="nil"/>
              <w:bottom w:val="nil"/>
              <w:right w:val="nil"/>
            </w:tcBorders>
            <w:tcMar>
              <w:top w:w="0" w:type="dxa"/>
              <w:left w:w="0" w:type="dxa"/>
              <w:bottom w:w="0" w:type="dxa"/>
              <w:right w:w="0" w:type="dxa"/>
            </w:tcMar>
          </w:tcPr>
          <w:p w14:paraId="3B6BBA8F" w14:textId="77777777" w:rsidR="00D83A30" w:rsidRDefault="00384530">
            <w:pPr>
              <w:shd w:val="clear" w:color="auto" w:fill="FFFFFF"/>
              <w:spacing w:line="240" w:lineRule="auto"/>
              <w:jc w:val="both"/>
              <w:rPr>
                <w:rFonts w:ascii="Verdana" w:eastAsia="Verdana" w:hAnsi="Verdana" w:cs="Verdana"/>
              </w:rPr>
            </w:pPr>
            <w:r>
              <w:rPr>
                <w:rFonts w:ascii="Verdana" w:eastAsia="Verdana" w:hAnsi="Verdana" w:cs="Verdana"/>
                <w:i/>
                <w:iCs/>
              </w:rPr>
              <w:t>C-320-1504-7-0-104</w:t>
            </w:r>
          </w:p>
        </w:tc>
        <w:tc>
          <w:tcPr>
            <w:tcW w:w="4425" w:type="dxa"/>
            <w:tcBorders>
              <w:top w:val="nil"/>
              <w:left w:val="nil"/>
              <w:bottom w:val="nil"/>
              <w:right w:val="nil"/>
            </w:tcBorders>
            <w:tcMar>
              <w:top w:w="0" w:type="dxa"/>
              <w:left w:w="0" w:type="dxa"/>
              <w:bottom w:w="0" w:type="dxa"/>
              <w:right w:w="0" w:type="dxa"/>
            </w:tcMar>
          </w:tcPr>
          <w:p w14:paraId="2EE0DE0F" w14:textId="77777777" w:rsidR="00D83A30" w:rsidRDefault="00384530">
            <w:pPr>
              <w:shd w:val="clear" w:color="auto" w:fill="FFFFFF"/>
              <w:spacing w:line="240" w:lineRule="auto"/>
              <w:jc w:val="both"/>
              <w:rPr>
                <w:rFonts w:ascii="Verdana" w:eastAsia="Verdana" w:hAnsi="Verdana" w:cs="Verdana"/>
              </w:rPr>
            </w:pPr>
            <w:r>
              <w:rPr>
                <w:rFonts w:ascii="Verdana" w:eastAsia="Verdana" w:hAnsi="Verdana" w:cs="Verdana"/>
                <w:i/>
                <w:iCs/>
              </w:rPr>
              <w:t>Víctima del Conflicto Armado</w:t>
            </w:r>
          </w:p>
        </w:tc>
        <w:tc>
          <w:tcPr>
            <w:tcW w:w="1980" w:type="dxa"/>
            <w:tcBorders>
              <w:top w:val="nil"/>
              <w:left w:val="nil"/>
              <w:bottom w:val="nil"/>
              <w:right w:val="nil"/>
            </w:tcBorders>
            <w:tcMar>
              <w:top w:w="0" w:type="dxa"/>
              <w:left w:w="0" w:type="dxa"/>
              <w:bottom w:w="0" w:type="dxa"/>
              <w:right w:w="0" w:type="dxa"/>
            </w:tcMar>
          </w:tcPr>
          <w:p w14:paraId="03B3C4B0" w14:textId="77777777" w:rsidR="00D83A30" w:rsidRDefault="00384530">
            <w:pPr>
              <w:shd w:val="clear" w:color="auto" w:fill="FFFFFF"/>
              <w:spacing w:line="240" w:lineRule="auto"/>
              <w:jc w:val="right"/>
              <w:rPr>
                <w:rFonts w:ascii="Verdana" w:eastAsia="Verdana" w:hAnsi="Verdana" w:cs="Verdana"/>
              </w:rPr>
            </w:pPr>
            <w:r>
              <w:rPr>
                <w:rFonts w:ascii="Verdana" w:eastAsia="Verdana" w:hAnsi="Verdana" w:cs="Verdana"/>
                <w:i/>
                <w:iCs/>
              </w:rPr>
              <w:t>$31.366.209</w:t>
            </w:r>
          </w:p>
        </w:tc>
      </w:tr>
    </w:tbl>
    <w:p w14:paraId="2033281B" w14:textId="77777777" w:rsidR="00D83A30" w:rsidRDefault="00384530">
      <w:pPr>
        <w:shd w:val="clear" w:color="auto" w:fill="FFFFFF"/>
        <w:spacing w:after="280" w:line="240" w:lineRule="auto"/>
        <w:jc w:val="both"/>
        <w:rPr>
          <w:rFonts w:ascii="Verdana" w:eastAsia="Verdana" w:hAnsi="Verdana" w:cs="Verdana"/>
        </w:rPr>
      </w:pPr>
      <w:r>
        <w:rPr>
          <w:rFonts w:ascii="Verdana" w:eastAsia="Verdana" w:hAnsi="Verdana" w:cs="Verdana"/>
        </w:rPr>
        <w:t>Así las cosas y conforme a lo anterior la Dirección Regional Bogotá ICBF ha dejado constancia expresa de su aprobación para que se otorgue la delegación especial solicitada.</w:t>
      </w:r>
    </w:p>
    <w:p w14:paraId="659656A5" w14:textId="77777777" w:rsidR="00D83A30" w:rsidRDefault="00384530">
      <w:pPr>
        <w:shd w:val="clear" w:color="auto" w:fill="FFFFFF"/>
        <w:spacing w:after="280" w:line="240" w:lineRule="auto"/>
        <w:jc w:val="both"/>
        <w:rPr>
          <w:rFonts w:ascii="Verdana" w:eastAsia="Verdana" w:hAnsi="Verdana" w:cs="Verdana"/>
        </w:rPr>
      </w:pPr>
      <w:r>
        <w:rPr>
          <w:rFonts w:ascii="Verdana" w:eastAsia="Verdana" w:hAnsi="Verdana" w:cs="Verdana"/>
        </w:rPr>
        <w:t>Que de acuerdo con lo expuesto se considera necesario conferir la delegación especial a la Directora Regional Bogotá ICBF para contratar el servicio de público de transporte especial para el ICBF Regional Bogotá, incluidos todos los costos operacionales, vehículos con disponibilidad de veinticuatro (24) horas siete (7) días a la semana, por la suma de MIL CIENTO CUARENTA Y DOS MILLONES CUATROCIENTOS TREINTA Y CUATRO MIL CUATROCIENTOS SESENTA Y SEIS PESOS M/CTE ($1.142.434.466.00).</w:t>
      </w:r>
    </w:p>
    <w:p w14:paraId="5386D2AE" w14:textId="77777777" w:rsidR="00D83A30" w:rsidRDefault="00384530">
      <w:pPr>
        <w:shd w:val="clear" w:color="auto" w:fill="FFFFFF"/>
        <w:spacing w:after="280" w:line="240" w:lineRule="auto"/>
        <w:jc w:val="both"/>
        <w:rPr>
          <w:rFonts w:ascii="Verdana" w:eastAsia="Verdana" w:hAnsi="Verdana" w:cs="Verdana"/>
        </w:rPr>
      </w:pPr>
      <w:r>
        <w:rPr>
          <w:rFonts w:ascii="Verdana" w:eastAsia="Verdana" w:hAnsi="Verdana" w:cs="Verdana"/>
        </w:rPr>
        <w:t>Que en mérito de lo expuesto,</w:t>
      </w:r>
    </w:p>
    <w:p w14:paraId="764D35C6" w14:textId="77777777" w:rsidR="00D83A30" w:rsidRDefault="00384530">
      <w:pPr>
        <w:shd w:val="clear" w:color="auto" w:fill="FFFFFF"/>
        <w:spacing w:after="280" w:line="240" w:lineRule="auto"/>
        <w:jc w:val="center"/>
        <w:rPr>
          <w:rFonts w:ascii="Verdana" w:eastAsia="Verdana" w:hAnsi="Verdana" w:cs="Verdana"/>
          <w:b/>
          <w:bCs/>
        </w:rPr>
      </w:pPr>
      <w:r>
        <w:rPr>
          <w:rFonts w:ascii="Verdana" w:eastAsia="Verdana" w:hAnsi="Verdana" w:cs="Verdana"/>
          <w:b/>
          <w:bCs/>
        </w:rPr>
        <w:t>RESUELVE:</w:t>
      </w:r>
    </w:p>
    <w:p w14:paraId="0B14E199" w14:textId="77777777" w:rsidR="00D83A30" w:rsidRDefault="00384530">
      <w:pPr>
        <w:shd w:val="clear" w:color="auto" w:fill="FFFFFF"/>
        <w:spacing w:after="280" w:line="240" w:lineRule="auto"/>
        <w:jc w:val="both"/>
        <w:rPr>
          <w:rFonts w:ascii="Verdana" w:eastAsia="Verdana" w:hAnsi="Verdana" w:cs="Verdana"/>
        </w:rPr>
      </w:pPr>
      <w:r>
        <w:rPr>
          <w:rFonts w:ascii="Verdana" w:eastAsia="Verdana" w:hAnsi="Verdana" w:cs="Verdana"/>
          <w:b/>
          <w:bCs/>
        </w:rPr>
        <w:lastRenderedPageBreak/>
        <w:t xml:space="preserve">ARTÍCULO PRIMERO. </w:t>
      </w:r>
      <w:r>
        <w:rPr>
          <w:rFonts w:ascii="Verdana" w:eastAsia="Verdana" w:hAnsi="Verdana" w:cs="Verdana"/>
        </w:rPr>
        <w:t>Otorgar Delegación Especial al Director Regional Bogotá ICBF para la celebración de contrato mediante la modalidad de Licitación Pública para la prestación del servicio público de transporte especial para el ICBF Regional Bogotá, incluidos todos los costos operacionales, vehículos con disponibilidad de veinticuatro (24) horas siete (7) días a la semana, por la suma de MIL CIENTO CUARENTA Y DOS MILLONES CUATROCIENTOS TREINTA Y CUATRO MIL CUATROCIENTOS SESENTA Y SEIS PESOS M/CTE ($1.142.434.466.00).</w:t>
      </w:r>
    </w:p>
    <w:p w14:paraId="3B1F5704" w14:textId="77777777" w:rsidR="00D83A30" w:rsidRDefault="00D83A30">
      <w:pPr>
        <w:shd w:val="clear" w:color="auto" w:fill="FFFFFF"/>
        <w:spacing w:line="240" w:lineRule="auto"/>
        <w:jc w:val="both"/>
        <w:rPr>
          <w:rFonts w:ascii="Verdana" w:eastAsia="Verdana" w:hAnsi="Verdana" w:cs="Verdana"/>
        </w:rPr>
      </w:pPr>
    </w:p>
    <w:p w14:paraId="3C5A0347" w14:textId="77777777" w:rsidR="00D83A30" w:rsidRDefault="00384530">
      <w:pPr>
        <w:shd w:val="clear" w:color="auto" w:fill="FFFFFF"/>
        <w:spacing w:after="280" w:line="240"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 delegación conferida mediante la presente Resolución comprende la facultad para celebrar adiciones a los contratos de que trata esta Resolución, siempre y cuando cada una de ellas no supere el cincuenta por ciento (50%) del valor inicial del contrato, expresado éste en salarios mínimos legales mensuales.</w:t>
      </w:r>
    </w:p>
    <w:p w14:paraId="643C97ED" w14:textId="77777777" w:rsidR="00D83A30" w:rsidRDefault="00D83A30">
      <w:pPr>
        <w:shd w:val="clear" w:color="auto" w:fill="FFFFFF"/>
        <w:spacing w:line="240" w:lineRule="auto"/>
        <w:jc w:val="both"/>
        <w:rPr>
          <w:rFonts w:ascii="Verdana" w:eastAsia="Verdana" w:hAnsi="Verdana" w:cs="Verdana"/>
        </w:rPr>
      </w:pPr>
    </w:p>
    <w:p w14:paraId="039D56D6" w14:textId="77777777" w:rsidR="00D83A30" w:rsidRDefault="00384530">
      <w:pPr>
        <w:shd w:val="clear" w:color="auto" w:fill="FFFFFF"/>
        <w:spacing w:after="280" w:line="240" w:lineRule="auto"/>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A partir de la suscripción de los contratos, la delegación conferida mediante la presente Resolución comprende todos los trámites necesarios para suscribir los actos propios de la etapa contractual y pos-contractual, para garantizar la prestación del servicio conforme a las disposiciones legales, lineamientos y estándares de calidad del ICBF.</w:t>
      </w:r>
    </w:p>
    <w:p w14:paraId="46190D42" w14:textId="77777777" w:rsidR="00D83A30" w:rsidRDefault="00384530">
      <w:pPr>
        <w:shd w:val="clear" w:color="auto" w:fill="FFFFFF"/>
        <w:spacing w:after="280" w:line="240"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La Dirección Regional Bogotá deberá remitir, dentro de los treinta (30) días siguientes a la celebración del contrato, informe a la Dirección Administrativa sobre el ejercicio de la facultad delegada, y ésta, a su vez, presentará ante la Dirección de Contratación un informe consolidado sobre la presente delegación.</w:t>
      </w:r>
    </w:p>
    <w:p w14:paraId="4A1E7BB0" w14:textId="77777777" w:rsidR="00D83A30" w:rsidRDefault="00384530">
      <w:pPr>
        <w:shd w:val="clear" w:color="auto" w:fill="FFFFFF"/>
        <w:spacing w:after="280" w:line="240" w:lineRule="auto"/>
        <w:jc w:val="both"/>
        <w:rPr>
          <w:rFonts w:ascii="Verdana" w:eastAsia="Verdana" w:hAnsi="Verdana" w:cs="Verdana"/>
        </w:rPr>
      </w:pPr>
      <w:r>
        <w:rPr>
          <w:rFonts w:ascii="Verdana" w:eastAsia="Verdana" w:hAnsi="Verdana" w:cs="Verdana"/>
        </w:rPr>
        <w:t>La presente Resolución rige a partir de la fecha de su expedición.</w:t>
      </w:r>
    </w:p>
    <w:p w14:paraId="0E7BD932" w14:textId="77777777" w:rsidR="00D83A30" w:rsidRDefault="00384530">
      <w:pPr>
        <w:shd w:val="clear" w:color="auto" w:fill="FFFFFF"/>
        <w:spacing w:after="280" w:line="240" w:lineRule="auto"/>
        <w:jc w:val="center"/>
        <w:rPr>
          <w:rFonts w:ascii="Verdana" w:eastAsia="Verdana" w:hAnsi="Verdana" w:cs="Verdana"/>
          <w:b/>
          <w:bCs/>
        </w:rPr>
      </w:pPr>
      <w:r>
        <w:rPr>
          <w:rFonts w:ascii="Verdana" w:eastAsia="Verdana" w:hAnsi="Verdana" w:cs="Verdana"/>
          <w:b/>
          <w:bCs/>
        </w:rPr>
        <w:t>COMUNÍQUESE Y CÚMPLASE</w:t>
      </w:r>
    </w:p>
    <w:p w14:paraId="404806DD" w14:textId="77777777" w:rsidR="00D83A30" w:rsidRDefault="00384530">
      <w:pPr>
        <w:shd w:val="clear" w:color="auto" w:fill="FFFFFF"/>
        <w:spacing w:after="280" w:line="240" w:lineRule="auto"/>
        <w:jc w:val="center"/>
        <w:rPr>
          <w:rFonts w:ascii="Verdana" w:eastAsia="Verdana" w:hAnsi="Verdana" w:cs="Verdana"/>
        </w:rPr>
      </w:pPr>
      <w:r>
        <w:rPr>
          <w:rFonts w:ascii="Verdana" w:eastAsia="Verdana" w:hAnsi="Verdana" w:cs="Verdana"/>
        </w:rPr>
        <w:t>Dada en Bogotá D. C.</w:t>
      </w:r>
    </w:p>
    <w:p w14:paraId="263C32DD" w14:textId="77777777" w:rsidR="00D83A30" w:rsidRDefault="00384530">
      <w:pPr>
        <w:shd w:val="clear" w:color="auto" w:fill="FFFFFF"/>
        <w:spacing w:after="280" w:line="240" w:lineRule="auto"/>
        <w:jc w:val="center"/>
        <w:rPr>
          <w:rFonts w:ascii="Verdana" w:eastAsia="Verdana" w:hAnsi="Verdana" w:cs="Verdana"/>
          <w:b/>
          <w:bCs/>
        </w:rPr>
      </w:pPr>
      <w:r>
        <w:rPr>
          <w:rFonts w:ascii="Verdana" w:eastAsia="Verdana" w:hAnsi="Verdana" w:cs="Verdana"/>
          <w:b/>
          <w:bCs/>
        </w:rPr>
        <w:t>MARCO AURELIO ZUUAGA GIRALDO</w:t>
      </w:r>
    </w:p>
    <w:p w14:paraId="6E78154F" w14:textId="77777777" w:rsidR="00D83A30" w:rsidRDefault="00384530">
      <w:pPr>
        <w:shd w:val="clear" w:color="auto" w:fill="FFFFFF"/>
        <w:spacing w:after="280" w:line="240" w:lineRule="auto"/>
        <w:jc w:val="center"/>
        <w:rPr>
          <w:rFonts w:ascii="Verdana" w:eastAsia="Verdana" w:hAnsi="Verdana" w:cs="Verdana"/>
        </w:rPr>
      </w:pPr>
      <w:r>
        <w:rPr>
          <w:rFonts w:ascii="Verdana" w:eastAsia="Verdana" w:hAnsi="Verdana" w:cs="Verdana"/>
        </w:rPr>
        <w:t>Director General</w:t>
      </w:r>
    </w:p>
    <w:p w14:paraId="0FD66D6A" w14:textId="77777777" w:rsidR="00D83A30" w:rsidRDefault="00D83A30">
      <w:pPr>
        <w:shd w:val="clear" w:color="auto" w:fill="FFFFFF"/>
        <w:spacing w:after="240" w:line="240" w:lineRule="auto"/>
        <w:jc w:val="center"/>
        <w:rPr>
          <w:rFonts w:ascii="Verdana" w:eastAsia="Verdana" w:hAnsi="Verdana" w:cs="Verdana"/>
          <w:b/>
          <w:bCs/>
        </w:rPr>
      </w:pPr>
    </w:p>
    <w:sectPr w:rsidR="00D83A3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D3F89A5-8CB7-4A92-862D-B58CEF2C42ED}"/>
    <w:embedBold r:id="rId2" w:fontKey="{B8B4F41A-EC2C-4245-83F7-7AFBA158BE3F}"/>
    <w:embedItalic r:id="rId3" w:fontKey="{9B09DCBF-E47F-4832-BB86-C11F61C66823}"/>
  </w:font>
  <w:font w:name="Calibri">
    <w:panose1 w:val="020F0502020204030204"/>
    <w:charset w:val="00"/>
    <w:family w:val="swiss"/>
    <w:pitch w:val="variable"/>
    <w:sig w:usb0="E4002EFF" w:usb1="C200247B" w:usb2="00000009" w:usb3="00000000" w:csb0="000001FF" w:csb1="00000000"/>
    <w:embedRegular r:id="rId4" w:fontKey="{76A57850-7CC3-4CA4-9D10-444560D48253}"/>
  </w:font>
  <w:font w:name="Cambria">
    <w:panose1 w:val="02040503050406030204"/>
    <w:charset w:val="00"/>
    <w:family w:val="roman"/>
    <w:pitch w:val="variable"/>
    <w:sig w:usb0="E00006FF" w:usb1="420024FF" w:usb2="02000000" w:usb3="00000000" w:csb0="0000019F" w:csb1="00000000"/>
    <w:embedRegular r:id="rId5" w:fontKey="{C519772B-4AD4-4C72-8B0F-2BFF6642A4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30"/>
    <w:rsid w:val="001A3BC3"/>
    <w:rsid w:val="00362970"/>
    <w:rsid w:val="00384530"/>
    <w:rsid w:val="00665FDA"/>
    <w:rsid w:val="00D83A30"/>
    <w:rsid w:val="00DD55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0ABD5"/>
  <w15:docId w15:val="{2747D3DA-CFC3-4FEE-9944-60C1430E1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style>
  <w:style w:type="paragraph" w:styleId="Sinespaciado">
    <w:name w:val="No Spacing"/>
    <w:uiPriority w:val="1"/>
    <w:qFormat/>
    <w:rsid w:val="001A3BC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2B46B6-7039-46C6-A194-C4857DDE98E6}"/>
</file>

<file path=customXml/itemProps2.xml><?xml version="1.0" encoding="utf-8"?>
<ds:datastoreItem xmlns:ds="http://schemas.openxmlformats.org/officeDocument/2006/customXml" ds:itemID="{849EF5E8-E662-4C58-925D-8878EE8EEF44}"/>
</file>

<file path=customXml/itemProps3.xml><?xml version="1.0" encoding="utf-8"?>
<ds:datastoreItem xmlns:ds="http://schemas.openxmlformats.org/officeDocument/2006/customXml" ds:itemID="{86A43783-A546-47B4-BD7C-775F197F7F5A}"/>
</file>

<file path=docProps/app.xml><?xml version="1.0" encoding="utf-8"?>
<Properties xmlns="http://schemas.openxmlformats.org/officeDocument/2006/extended-properties" xmlns:vt="http://schemas.openxmlformats.org/officeDocument/2006/docPropsVTypes">
  <Template>Normal</Template>
  <TotalTime>2</TotalTime>
  <Pages>3</Pages>
  <Words>987</Words>
  <Characters>5434</Characters>
  <Application>Microsoft Office Word</Application>
  <DocSecurity>0</DocSecurity>
  <Lines>45</Lines>
  <Paragraphs>12</Paragraphs>
  <ScaleCrop>false</ScaleCrop>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2026-01-05T21:32:00Z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