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19F8" w14:textId="35F8EF93" w:rsidR="00566B2C" w:rsidRPr="00566B2C" w:rsidRDefault="00566B2C" w:rsidP="00566B2C">
      <w:pPr>
        <w:jc w:val="center"/>
        <w:rPr>
          <w:rFonts w:ascii="Verdana" w:hAnsi="Verdana"/>
          <w:b/>
          <w:bCs/>
          <w:sz w:val="22"/>
          <w:szCs w:val="22"/>
        </w:rPr>
      </w:pPr>
      <w:r w:rsidRPr="00566B2C">
        <w:rPr>
          <w:rFonts w:ascii="Verdana" w:hAnsi="Verdana"/>
          <w:b/>
          <w:bCs/>
          <w:sz w:val="22"/>
          <w:szCs w:val="22"/>
        </w:rPr>
        <w:t>RESOLUCIÓN 11306 de 2015</w:t>
      </w:r>
    </w:p>
    <w:p w14:paraId="3A2B13C1" w14:textId="435E388C" w:rsidR="00F81621" w:rsidRPr="003530BC" w:rsidRDefault="00F81621" w:rsidP="00F42D2F">
      <w:pPr>
        <w:rPr>
          <w:rFonts w:ascii="Verdana" w:hAnsi="Verdana"/>
          <w:sz w:val="20"/>
          <w:szCs w:val="20"/>
        </w:rPr>
      </w:pPr>
      <w:r w:rsidRPr="003530BC">
        <w:rPr>
          <w:rFonts w:ascii="Verdana" w:hAnsi="Verdana"/>
          <w:sz w:val="20"/>
          <w:szCs w:val="20"/>
        </w:rPr>
        <w:t xml:space="preserve">Fecha de Expedición: </w:t>
      </w:r>
      <w:r w:rsidRPr="00566B2C">
        <w:rPr>
          <w:rFonts w:ascii="Verdana" w:hAnsi="Verdana"/>
          <w:sz w:val="20"/>
          <w:szCs w:val="20"/>
        </w:rPr>
        <w:t>3</w:t>
      </w:r>
      <w:r w:rsidR="00566B2C" w:rsidRPr="00566B2C">
        <w:rPr>
          <w:rFonts w:ascii="Verdana" w:hAnsi="Verdana"/>
          <w:sz w:val="20"/>
          <w:szCs w:val="20"/>
        </w:rPr>
        <w:t>1</w:t>
      </w:r>
      <w:r w:rsidRPr="003530BC">
        <w:rPr>
          <w:rFonts w:ascii="Verdana" w:hAnsi="Verdana"/>
          <w:sz w:val="20"/>
          <w:szCs w:val="20"/>
        </w:rPr>
        <w:t xml:space="preserve"> de diciembre de 2015</w:t>
      </w:r>
    </w:p>
    <w:p w14:paraId="21A19534" w14:textId="46DB356B" w:rsidR="00F81621" w:rsidRPr="003530BC" w:rsidRDefault="00F81621" w:rsidP="00F42D2F">
      <w:pPr>
        <w:rPr>
          <w:rFonts w:ascii="Verdana" w:hAnsi="Verdana"/>
          <w:sz w:val="20"/>
          <w:szCs w:val="20"/>
        </w:rPr>
      </w:pPr>
      <w:r w:rsidRPr="003530BC">
        <w:rPr>
          <w:rFonts w:ascii="Verdana" w:hAnsi="Verdana"/>
          <w:sz w:val="20"/>
          <w:szCs w:val="20"/>
        </w:rPr>
        <w:t xml:space="preserve">Fecha de </w:t>
      </w:r>
      <w:proofErr w:type="gramStart"/>
      <w:r w:rsidRPr="003530BC">
        <w:rPr>
          <w:rFonts w:ascii="Verdana" w:hAnsi="Verdana"/>
          <w:sz w:val="20"/>
          <w:szCs w:val="20"/>
        </w:rPr>
        <w:t>entrada en vigencia</w:t>
      </w:r>
      <w:proofErr w:type="gramEnd"/>
      <w:r w:rsidRPr="003530BC">
        <w:rPr>
          <w:rFonts w:ascii="Verdana" w:hAnsi="Verdana"/>
          <w:sz w:val="20"/>
          <w:szCs w:val="20"/>
        </w:rPr>
        <w:t xml:space="preserve">:  </w:t>
      </w:r>
      <w:r w:rsidRPr="00566B2C">
        <w:rPr>
          <w:rFonts w:ascii="Verdana" w:hAnsi="Verdana"/>
          <w:sz w:val="20"/>
          <w:szCs w:val="20"/>
        </w:rPr>
        <w:t>3</w:t>
      </w:r>
      <w:r w:rsidR="00566B2C" w:rsidRPr="00566B2C">
        <w:rPr>
          <w:rFonts w:ascii="Verdana" w:hAnsi="Verdana"/>
          <w:sz w:val="20"/>
          <w:szCs w:val="20"/>
        </w:rPr>
        <w:t>1</w:t>
      </w:r>
      <w:r w:rsidRPr="003530BC">
        <w:rPr>
          <w:rFonts w:ascii="Verdana" w:hAnsi="Verdana"/>
          <w:sz w:val="20"/>
          <w:szCs w:val="20"/>
        </w:rPr>
        <w:t xml:space="preserve"> de diciembre de 2015</w:t>
      </w:r>
    </w:p>
    <w:p w14:paraId="4EE5A74F" w14:textId="77777777" w:rsidR="00F81621" w:rsidRPr="003530BC" w:rsidRDefault="00F81621" w:rsidP="00F42D2F">
      <w:pPr>
        <w:rPr>
          <w:rFonts w:ascii="Verdana" w:hAnsi="Verdana"/>
          <w:sz w:val="20"/>
          <w:szCs w:val="20"/>
        </w:rPr>
      </w:pPr>
      <w:r w:rsidRPr="003530BC">
        <w:rPr>
          <w:rFonts w:ascii="Verdana" w:hAnsi="Verdana"/>
          <w:sz w:val="20"/>
          <w:szCs w:val="20"/>
        </w:rPr>
        <w:t>Estado de la vigencia: vigente</w:t>
      </w:r>
    </w:p>
    <w:p w14:paraId="5B505D1C" w14:textId="77777777" w:rsidR="00F81621" w:rsidRPr="003530BC" w:rsidRDefault="00F81621" w:rsidP="00F42D2F">
      <w:pPr>
        <w:rPr>
          <w:rFonts w:ascii="Verdana" w:hAnsi="Verdana"/>
          <w:sz w:val="20"/>
          <w:szCs w:val="20"/>
        </w:rPr>
      </w:pPr>
    </w:p>
    <w:p w14:paraId="3510EC17" w14:textId="77777777" w:rsidR="00F81621" w:rsidRPr="003530BC" w:rsidRDefault="00F81621" w:rsidP="00F42D2F">
      <w:pPr>
        <w:rPr>
          <w:rFonts w:ascii="Verdana" w:hAnsi="Verdana"/>
          <w:sz w:val="20"/>
          <w:szCs w:val="20"/>
        </w:rPr>
      </w:pPr>
      <w:r w:rsidRPr="003530BC">
        <w:rPr>
          <w:rFonts w:ascii="Verdana" w:hAnsi="Verdana"/>
          <w:sz w:val="20"/>
          <w:szCs w:val="20"/>
        </w:rPr>
        <w:t>Fecha de publicación en Diario Oficial: N/A</w:t>
      </w:r>
    </w:p>
    <w:p w14:paraId="653DFDED" w14:textId="77777777" w:rsidR="00F81621" w:rsidRPr="00566B2C" w:rsidRDefault="00F81621" w:rsidP="00F42D2F">
      <w:pPr>
        <w:rPr>
          <w:rFonts w:ascii="Verdana" w:hAnsi="Verdana"/>
          <w:sz w:val="20"/>
          <w:szCs w:val="20"/>
        </w:rPr>
      </w:pPr>
      <w:r w:rsidRPr="003530BC">
        <w:rPr>
          <w:rFonts w:ascii="Verdana" w:hAnsi="Verdana"/>
          <w:sz w:val="20"/>
          <w:szCs w:val="20"/>
        </w:rPr>
        <w:t>Número del Diario Oficial: N/A</w:t>
      </w:r>
    </w:p>
    <w:p w14:paraId="393A89A6" w14:textId="77777777" w:rsidR="0088588F" w:rsidRPr="00F42D2F" w:rsidRDefault="0088588F" w:rsidP="00F42D2F">
      <w:pPr>
        <w:rPr>
          <w:rFonts w:ascii="Verdana" w:hAnsi="Verdana"/>
          <w:sz w:val="22"/>
          <w:szCs w:val="22"/>
        </w:rPr>
      </w:pPr>
    </w:p>
    <w:p w14:paraId="310BD129" w14:textId="4A2F3154" w:rsidR="00F42D2F" w:rsidRPr="00566B2C" w:rsidRDefault="00F42D2F" w:rsidP="00566B2C">
      <w:pPr>
        <w:jc w:val="center"/>
        <w:rPr>
          <w:rFonts w:ascii="Verdana" w:hAnsi="Verdana"/>
          <w:b/>
          <w:bCs/>
          <w:sz w:val="22"/>
          <w:szCs w:val="22"/>
        </w:rPr>
      </w:pPr>
      <w:r w:rsidRPr="00566B2C">
        <w:rPr>
          <w:rFonts w:ascii="Verdana" w:hAnsi="Verdana"/>
          <w:b/>
          <w:bCs/>
          <w:sz w:val="22"/>
          <w:szCs w:val="22"/>
        </w:rPr>
        <w:t>RESOLUCIÓN 11306 de 2015</w:t>
      </w:r>
    </w:p>
    <w:p w14:paraId="2D63E4EB" w14:textId="3C9C2162" w:rsidR="00F42D2F" w:rsidRPr="00566B2C" w:rsidRDefault="00F42D2F" w:rsidP="00566B2C">
      <w:pPr>
        <w:jc w:val="center"/>
        <w:rPr>
          <w:rFonts w:ascii="Verdana" w:hAnsi="Verdana"/>
          <w:b/>
          <w:bCs/>
          <w:sz w:val="22"/>
          <w:szCs w:val="22"/>
        </w:rPr>
      </w:pPr>
      <w:r w:rsidRPr="00566B2C">
        <w:rPr>
          <w:rFonts w:ascii="Verdana" w:hAnsi="Verdana"/>
          <w:b/>
          <w:bCs/>
          <w:sz w:val="22"/>
          <w:szCs w:val="22"/>
        </w:rPr>
        <w:t>(</w:t>
      </w:r>
      <w:r w:rsidR="00566B2C" w:rsidRPr="00566B2C">
        <w:rPr>
          <w:rFonts w:ascii="Verdana" w:hAnsi="Verdana"/>
          <w:b/>
          <w:bCs/>
          <w:sz w:val="22"/>
          <w:szCs w:val="22"/>
        </w:rPr>
        <w:t xml:space="preserve">31 de </w:t>
      </w:r>
      <w:r w:rsidRPr="00566B2C">
        <w:rPr>
          <w:rFonts w:ascii="Verdana" w:hAnsi="Verdana"/>
          <w:b/>
          <w:bCs/>
          <w:sz w:val="22"/>
          <w:szCs w:val="22"/>
        </w:rPr>
        <w:t>diciembre)</w:t>
      </w:r>
    </w:p>
    <w:p w14:paraId="59F64D58" w14:textId="78F70910" w:rsidR="00F42D2F" w:rsidRPr="00566B2C" w:rsidRDefault="00F42D2F" w:rsidP="00566B2C">
      <w:pPr>
        <w:jc w:val="center"/>
        <w:rPr>
          <w:rFonts w:ascii="Verdana" w:hAnsi="Verdana"/>
          <w:b/>
          <w:bCs/>
          <w:sz w:val="22"/>
          <w:szCs w:val="22"/>
        </w:rPr>
      </w:pPr>
      <w:r w:rsidRPr="00566B2C">
        <w:rPr>
          <w:rFonts w:ascii="Verdana" w:hAnsi="Verdana"/>
          <w:b/>
          <w:bCs/>
          <w:sz w:val="22"/>
          <w:szCs w:val="22"/>
        </w:rPr>
        <w:t>INSTITUTO COLOMBIANO DE BIENESTAR FAMILIAR – ICBF</w:t>
      </w:r>
    </w:p>
    <w:p w14:paraId="59022007" w14:textId="0AF98435" w:rsidR="00F42D2F" w:rsidRPr="00F42D2F" w:rsidRDefault="00566B2C" w:rsidP="00566B2C">
      <w:pPr>
        <w:jc w:val="center"/>
        <w:rPr>
          <w:rFonts w:ascii="Verdana" w:hAnsi="Verdana"/>
          <w:sz w:val="22"/>
          <w:szCs w:val="22"/>
        </w:rPr>
      </w:pPr>
      <w:r>
        <w:rPr>
          <w:rFonts w:ascii="Verdana" w:hAnsi="Verdana"/>
          <w:sz w:val="22"/>
          <w:szCs w:val="22"/>
        </w:rPr>
        <w:t>“</w:t>
      </w:r>
      <w:r w:rsidR="00F42D2F" w:rsidRPr="00F42D2F">
        <w:rPr>
          <w:rFonts w:ascii="Verdana" w:hAnsi="Verdana"/>
          <w:sz w:val="22"/>
          <w:szCs w:val="22"/>
        </w:rPr>
        <w:t>Por la cual se aprueba el Programa Anual de Caja del Instituto Colombiano de Bienestar Familiar Cecilia De La Fuente De Lleras para la vigencia fiscal del año 2016 financiado con recursos propios</w:t>
      </w:r>
      <w:r>
        <w:rPr>
          <w:rFonts w:ascii="Verdana" w:hAnsi="Verdana"/>
          <w:sz w:val="22"/>
          <w:szCs w:val="22"/>
        </w:rPr>
        <w:t>”</w:t>
      </w:r>
    </w:p>
    <w:p w14:paraId="304830B9" w14:textId="1933AE45" w:rsidR="00F42D2F" w:rsidRPr="00566B2C" w:rsidRDefault="00F42D2F" w:rsidP="00566B2C">
      <w:pPr>
        <w:jc w:val="center"/>
        <w:rPr>
          <w:rFonts w:ascii="Verdana" w:hAnsi="Verdana"/>
          <w:b/>
          <w:bCs/>
          <w:sz w:val="22"/>
          <w:szCs w:val="22"/>
        </w:rPr>
      </w:pPr>
      <w:r w:rsidRPr="00566B2C">
        <w:rPr>
          <w:rFonts w:ascii="Verdana" w:hAnsi="Verdana"/>
          <w:b/>
          <w:bCs/>
          <w:sz w:val="22"/>
          <w:szCs w:val="22"/>
        </w:rPr>
        <w:t>LA DIRECTORA GENERAL DEL INSTITUTO COLOMBIANO DE BIENESTAR FAMILIAR - CECILIA DE LA FUENTE DE LLERAS – ICBF</w:t>
      </w:r>
    </w:p>
    <w:p w14:paraId="01C48028" w14:textId="555B6077" w:rsidR="00F42D2F" w:rsidRPr="00F42D2F" w:rsidRDefault="00F42D2F" w:rsidP="00566B2C">
      <w:pPr>
        <w:jc w:val="center"/>
        <w:rPr>
          <w:rFonts w:ascii="Verdana" w:hAnsi="Verdana"/>
          <w:sz w:val="22"/>
          <w:szCs w:val="22"/>
        </w:rPr>
      </w:pPr>
      <w:r w:rsidRPr="00F42D2F">
        <w:rPr>
          <w:rFonts w:ascii="Verdana" w:hAnsi="Verdana"/>
          <w:sz w:val="22"/>
          <w:szCs w:val="22"/>
        </w:rPr>
        <w:t xml:space="preserve">En uso de lo establecido en el Artículo 2.8.1.7.2.1 del Decreto 1068 del 26 de Mayo de 2015 y de la delegación otorgada por el Consejo Directivo en el artículo 1o del Acuerdo No. 003 de </w:t>
      </w:r>
      <w:proofErr w:type="gramStart"/>
      <w:r w:rsidRPr="00F42D2F">
        <w:rPr>
          <w:rFonts w:ascii="Verdana" w:hAnsi="Verdana"/>
          <w:sz w:val="22"/>
          <w:szCs w:val="22"/>
        </w:rPr>
        <w:t>Enero</w:t>
      </w:r>
      <w:proofErr w:type="gramEnd"/>
      <w:r w:rsidRPr="00F42D2F">
        <w:rPr>
          <w:rFonts w:ascii="Verdana" w:hAnsi="Verdana"/>
          <w:sz w:val="22"/>
          <w:szCs w:val="22"/>
        </w:rPr>
        <w:t xml:space="preserve"> 18 de 2008, y</w:t>
      </w:r>
    </w:p>
    <w:p w14:paraId="2E59B966" w14:textId="3E3EAEE7" w:rsidR="00F42D2F" w:rsidRPr="00566B2C" w:rsidRDefault="00F42D2F" w:rsidP="00566B2C">
      <w:pPr>
        <w:jc w:val="center"/>
        <w:rPr>
          <w:rFonts w:ascii="Verdana" w:hAnsi="Verdana"/>
          <w:b/>
          <w:bCs/>
          <w:sz w:val="22"/>
          <w:szCs w:val="22"/>
        </w:rPr>
      </w:pPr>
      <w:r w:rsidRPr="00566B2C">
        <w:rPr>
          <w:rFonts w:ascii="Verdana" w:hAnsi="Verdana"/>
          <w:b/>
          <w:bCs/>
          <w:sz w:val="22"/>
          <w:szCs w:val="22"/>
        </w:rPr>
        <w:t>CONSIDERANDO:</w:t>
      </w:r>
    </w:p>
    <w:p w14:paraId="4B359575" w14:textId="5ADE6109" w:rsidR="00F42D2F" w:rsidRPr="00F42D2F" w:rsidRDefault="00F42D2F" w:rsidP="00F42D2F">
      <w:pPr>
        <w:pStyle w:val="Prrafodelista"/>
        <w:numPr>
          <w:ilvl w:val="0"/>
          <w:numId w:val="1"/>
        </w:numPr>
        <w:rPr>
          <w:rFonts w:ascii="Verdana" w:hAnsi="Verdana"/>
          <w:sz w:val="22"/>
          <w:szCs w:val="22"/>
        </w:rPr>
      </w:pPr>
      <w:r w:rsidRPr="00F42D2F">
        <w:rPr>
          <w:rFonts w:ascii="Verdana" w:hAnsi="Verdana"/>
          <w:sz w:val="22"/>
          <w:szCs w:val="22"/>
        </w:rPr>
        <w:t>Que el Consejo Superior de Política Fiscal CONFIS, en su sesión del 30 de diciembre de 2015, autorizó para el ICBF una meta global de pagos para la vigencia fiscal 2016 con recursos propios por la suma de DOS BILLONES SEISCIENTOS SESENTA Y CUATRO MIL TREINTA Y SIETE MILLONES CIENTO CINCUENTA Y OCHO MIL QUINIENTOS TREINTA Y NUEVE PESOS MCTE ($2.664.037.158.539), para atender los compromisos y obligaciones de las reservas presupuéstales y cuentas por pagar constituidas con cargo al presupuesto de la vigencia 2015 y los que se deriven de la ejecución del presupuesto de la vigencia fiscal de 2016.</w:t>
      </w:r>
    </w:p>
    <w:p w14:paraId="3ECB3841" w14:textId="022EB5F3" w:rsidR="00F42D2F" w:rsidRPr="00F42D2F" w:rsidRDefault="00F42D2F" w:rsidP="00F42D2F">
      <w:pPr>
        <w:pStyle w:val="Prrafodelista"/>
        <w:numPr>
          <w:ilvl w:val="0"/>
          <w:numId w:val="1"/>
        </w:numPr>
        <w:rPr>
          <w:rFonts w:ascii="Verdana" w:hAnsi="Verdana"/>
          <w:sz w:val="22"/>
          <w:szCs w:val="22"/>
        </w:rPr>
      </w:pPr>
      <w:r w:rsidRPr="00F42D2F">
        <w:rPr>
          <w:rFonts w:ascii="Verdana" w:hAnsi="Verdana"/>
          <w:sz w:val="22"/>
          <w:szCs w:val="22"/>
        </w:rPr>
        <w:t xml:space="preserve">Que el Artículo 2.8.1.7.2.1 del Decreto 1068 del 26 de </w:t>
      </w:r>
      <w:proofErr w:type="gramStart"/>
      <w:r w:rsidRPr="00F42D2F">
        <w:rPr>
          <w:rFonts w:ascii="Verdana" w:hAnsi="Verdana"/>
          <w:sz w:val="22"/>
          <w:szCs w:val="22"/>
        </w:rPr>
        <w:t>Mayo</w:t>
      </w:r>
      <w:proofErr w:type="gramEnd"/>
      <w:r w:rsidRPr="00F42D2F">
        <w:rPr>
          <w:rFonts w:ascii="Verdana" w:hAnsi="Verdana"/>
          <w:sz w:val="22"/>
          <w:szCs w:val="22"/>
        </w:rPr>
        <w:t xml:space="preserve"> de 2015, “Por medio del cual se expide el Decreto Único Reglamentario del sector Hacienda y Crédito Público",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68B87CED" w14:textId="7A6A195E" w:rsidR="00F42D2F" w:rsidRPr="00F42D2F" w:rsidRDefault="00F42D2F" w:rsidP="00F42D2F">
      <w:pPr>
        <w:pStyle w:val="Prrafodelista"/>
        <w:numPr>
          <w:ilvl w:val="0"/>
          <w:numId w:val="1"/>
        </w:numPr>
        <w:rPr>
          <w:rFonts w:ascii="Verdana" w:hAnsi="Verdana"/>
          <w:sz w:val="22"/>
          <w:szCs w:val="22"/>
        </w:rPr>
      </w:pPr>
      <w:r w:rsidRPr="00F42D2F">
        <w:rPr>
          <w:rFonts w:ascii="Verdana" w:hAnsi="Verdana"/>
          <w:sz w:val="22"/>
          <w:szCs w:val="22"/>
        </w:rPr>
        <w:t xml:space="preserve">Que el Consejo Directivo en el artículo 1o del Acuerdo No. 003 del 18 de </w:t>
      </w:r>
      <w:proofErr w:type="gramStart"/>
      <w:r w:rsidRPr="00F42D2F">
        <w:rPr>
          <w:rFonts w:ascii="Verdana" w:hAnsi="Verdana"/>
          <w:sz w:val="22"/>
          <w:szCs w:val="22"/>
        </w:rPr>
        <w:t>Enero</w:t>
      </w:r>
      <w:proofErr w:type="gramEnd"/>
      <w:r w:rsidRPr="00F42D2F">
        <w:rPr>
          <w:rFonts w:ascii="Verdana" w:hAnsi="Verdana"/>
          <w:sz w:val="22"/>
          <w:szCs w:val="22"/>
        </w:rPr>
        <w:t xml:space="preserve"> de 2008, delegó en el </w:t>
      </w:r>
      <w:proofErr w:type="gramStart"/>
      <w:r w:rsidRPr="00F42D2F">
        <w:rPr>
          <w:rFonts w:ascii="Verdana" w:hAnsi="Verdana"/>
          <w:sz w:val="22"/>
          <w:szCs w:val="22"/>
        </w:rPr>
        <w:t>Director</w:t>
      </w:r>
      <w:proofErr w:type="gramEnd"/>
      <w:r w:rsidRPr="00F42D2F">
        <w:rPr>
          <w:rFonts w:ascii="Verdana" w:hAnsi="Verdana"/>
          <w:sz w:val="22"/>
          <w:szCs w:val="22"/>
        </w:rPr>
        <w:t xml:space="preserve"> (a) General la facultad de aprobar y </w:t>
      </w:r>
      <w:r w:rsidRPr="00F42D2F">
        <w:rPr>
          <w:rFonts w:ascii="Verdana" w:hAnsi="Verdana"/>
          <w:sz w:val="22"/>
          <w:szCs w:val="22"/>
        </w:rPr>
        <w:lastRenderedPageBreak/>
        <w:t>modificar el Programa Anual de Caja, con base en la meta global de pagos autorizada en cada vigencia por el CONFIS para el ICBF.</w:t>
      </w:r>
    </w:p>
    <w:p w14:paraId="1C03F632" w14:textId="4EAFF600" w:rsidR="00F42D2F" w:rsidRPr="00F42D2F" w:rsidRDefault="00F42D2F" w:rsidP="00F42D2F">
      <w:pPr>
        <w:pStyle w:val="Prrafodelista"/>
        <w:numPr>
          <w:ilvl w:val="0"/>
          <w:numId w:val="1"/>
        </w:numPr>
        <w:rPr>
          <w:rFonts w:ascii="Verdana" w:hAnsi="Verdana"/>
          <w:sz w:val="22"/>
          <w:szCs w:val="22"/>
        </w:rPr>
      </w:pPr>
      <w:proofErr w:type="gramStart"/>
      <w:r w:rsidRPr="00F42D2F">
        <w:rPr>
          <w:rFonts w:ascii="Verdana" w:hAnsi="Verdana"/>
          <w:sz w:val="22"/>
          <w:szCs w:val="22"/>
        </w:rPr>
        <w:t>Que</w:t>
      </w:r>
      <w:proofErr w:type="gramEnd"/>
      <w:r w:rsidRPr="00F42D2F">
        <w:rPr>
          <w:rFonts w:ascii="Verdana" w:hAnsi="Verdana"/>
          <w:sz w:val="22"/>
          <w:szCs w:val="22"/>
        </w:rPr>
        <w:t xml:space="preserve"> en mérito de lo expuesto,</w:t>
      </w:r>
    </w:p>
    <w:p w14:paraId="1B1BC519" w14:textId="136503C9" w:rsidR="00F42D2F" w:rsidRPr="00F42D2F" w:rsidRDefault="00F42D2F" w:rsidP="00F42D2F">
      <w:pPr>
        <w:jc w:val="center"/>
        <w:rPr>
          <w:rFonts w:ascii="Verdana" w:hAnsi="Verdana"/>
          <w:b/>
          <w:bCs/>
          <w:sz w:val="22"/>
          <w:szCs w:val="22"/>
        </w:rPr>
      </w:pPr>
      <w:r w:rsidRPr="00F42D2F">
        <w:rPr>
          <w:rFonts w:ascii="Verdana" w:hAnsi="Verdana"/>
          <w:b/>
          <w:bCs/>
          <w:sz w:val="22"/>
          <w:szCs w:val="22"/>
        </w:rPr>
        <w:t>RESUELVE</w:t>
      </w:r>
      <w:r w:rsidRPr="00F42D2F">
        <w:rPr>
          <w:rFonts w:ascii="Verdana" w:hAnsi="Verdana"/>
          <w:b/>
          <w:bCs/>
          <w:sz w:val="22"/>
          <w:szCs w:val="22"/>
        </w:rPr>
        <w:t>:</w:t>
      </w:r>
    </w:p>
    <w:p w14:paraId="71715029" w14:textId="28D8AAC3" w:rsidR="00F42D2F" w:rsidRPr="00F42D2F" w:rsidRDefault="00F42D2F" w:rsidP="00F42D2F">
      <w:pPr>
        <w:rPr>
          <w:rFonts w:ascii="Verdana" w:hAnsi="Verdana"/>
          <w:sz w:val="22"/>
          <w:szCs w:val="22"/>
        </w:rPr>
      </w:pPr>
      <w:r w:rsidRPr="00F42D2F">
        <w:rPr>
          <w:rFonts w:ascii="Verdana" w:hAnsi="Verdana"/>
          <w:b/>
          <w:bCs/>
          <w:sz w:val="22"/>
          <w:szCs w:val="22"/>
        </w:rPr>
        <w:t xml:space="preserve">ARTÍCULO </w:t>
      </w:r>
      <w:r w:rsidRPr="00F42D2F">
        <w:rPr>
          <w:rFonts w:ascii="Verdana" w:hAnsi="Verdana"/>
          <w:b/>
          <w:bCs/>
          <w:sz w:val="22"/>
          <w:szCs w:val="22"/>
        </w:rPr>
        <w:t>1o</w:t>
      </w:r>
      <w:r w:rsidRPr="00F42D2F">
        <w:rPr>
          <w:rFonts w:ascii="Verdana" w:hAnsi="Verdana"/>
          <w:b/>
          <w:bCs/>
          <w:sz w:val="22"/>
          <w:szCs w:val="22"/>
        </w:rPr>
        <w:t>.</w:t>
      </w:r>
      <w:r w:rsidRPr="00F42D2F">
        <w:rPr>
          <w:rFonts w:ascii="Verdana" w:hAnsi="Verdana"/>
          <w:sz w:val="22"/>
          <w:szCs w:val="22"/>
        </w:rPr>
        <w:t xml:space="preserve"> Aprobar el Programa Anual de Caja del Instituto Colombiano de Bienestar Familiar para la Vigencia Fiscal 2016 con recursos propios, en la suma de DOS BILLONES SEISCIENTOS SESENTA Y CUATRO MIL TREINTA Y SIETE MILLONES CIENTO CINCUENTA Y OCHO MIL QUINIENTOS TREINTA Y NUEVE PESOS M/L ($2.664.037.158.539), valor que corresponde a la meta global de pagos autorizada por el Consejo Superior de Política Fiscal CONFIS para la mencionada vigencia, para atender los compromisos y obligaciones de las reservas presupuéstales y cuentas por pagar constituidas con cargo al presupuesto de la vigencia 2015 y los que se deriven de la ejecución del presupuesto de la vigencia fiscal de 2016.</w:t>
      </w:r>
    </w:p>
    <w:p w14:paraId="32C26AE5" w14:textId="36566392" w:rsidR="00F42D2F" w:rsidRPr="00F42D2F" w:rsidRDefault="00F42D2F" w:rsidP="00F42D2F">
      <w:pPr>
        <w:rPr>
          <w:rFonts w:ascii="Verdana" w:hAnsi="Verdana"/>
          <w:sz w:val="22"/>
          <w:szCs w:val="22"/>
        </w:rPr>
      </w:pPr>
      <w:r w:rsidRPr="00F42D2F">
        <w:rPr>
          <w:rFonts w:ascii="Verdana" w:hAnsi="Verdana"/>
          <w:b/>
          <w:bCs/>
          <w:sz w:val="22"/>
          <w:szCs w:val="22"/>
        </w:rPr>
        <w:t xml:space="preserve">ARTÍCULO </w:t>
      </w:r>
      <w:r w:rsidRPr="00F42D2F">
        <w:rPr>
          <w:rFonts w:ascii="Verdana" w:hAnsi="Verdana"/>
          <w:b/>
          <w:bCs/>
          <w:sz w:val="22"/>
          <w:szCs w:val="22"/>
        </w:rPr>
        <w:t>2o.</w:t>
      </w:r>
      <w:r w:rsidRPr="00F42D2F">
        <w:rPr>
          <w:rFonts w:ascii="Verdana" w:hAnsi="Verdana"/>
          <w:sz w:val="22"/>
          <w:szCs w:val="22"/>
        </w:rPr>
        <w:t xml:space="preserve"> La presente Resolución rige a partir de la fecha de su expedición.</w:t>
      </w:r>
    </w:p>
    <w:p w14:paraId="678B9341" w14:textId="7D93B7F5" w:rsidR="00F42D2F" w:rsidRPr="00F42D2F" w:rsidRDefault="00F42D2F" w:rsidP="00F42D2F">
      <w:pPr>
        <w:jc w:val="center"/>
        <w:rPr>
          <w:rFonts w:ascii="Verdana" w:hAnsi="Verdana"/>
          <w:b/>
          <w:bCs/>
          <w:sz w:val="22"/>
          <w:szCs w:val="22"/>
        </w:rPr>
      </w:pPr>
      <w:r w:rsidRPr="00F42D2F">
        <w:rPr>
          <w:rFonts w:ascii="Verdana" w:hAnsi="Verdana"/>
          <w:b/>
          <w:bCs/>
          <w:sz w:val="22"/>
          <w:szCs w:val="22"/>
        </w:rPr>
        <w:t>COMUNÍQUESE Y CÚMPLASE</w:t>
      </w:r>
      <w:r w:rsidRPr="00F42D2F">
        <w:rPr>
          <w:rFonts w:ascii="Verdana" w:hAnsi="Verdana"/>
          <w:b/>
          <w:bCs/>
          <w:sz w:val="22"/>
          <w:szCs w:val="22"/>
        </w:rPr>
        <w:t>,</w:t>
      </w:r>
    </w:p>
    <w:p w14:paraId="539805C4" w14:textId="65F1854D" w:rsidR="00F42D2F" w:rsidRPr="00F42D2F" w:rsidRDefault="00F42D2F" w:rsidP="00F42D2F">
      <w:pPr>
        <w:jc w:val="center"/>
        <w:rPr>
          <w:rFonts w:ascii="Verdana" w:hAnsi="Verdana"/>
          <w:sz w:val="22"/>
          <w:szCs w:val="22"/>
        </w:rPr>
      </w:pPr>
      <w:r w:rsidRPr="00F42D2F">
        <w:rPr>
          <w:rFonts w:ascii="Verdana" w:hAnsi="Verdana"/>
          <w:sz w:val="22"/>
          <w:szCs w:val="22"/>
        </w:rPr>
        <w:t xml:space="preserve">Dada en Bogotá D. C. </w:t>
      </w:r>
      <w:r>
        <w:rPr>
          <w:rFonts w:ascii="Verdana" w:hAnsi="Verdana"/>
          <w:sz w:val="22"/>
          <w:szCs w:val="22"/>
        </w:rPr>
        <w:t xml:space="preserve">a los 31 días del mes de diciembre de </w:t>
      </w:r>
      <w:r w:rsidRPr="00F42D2F">
        <w:rPr>
          <w:rFonts w:ascii="Verdana" w:hAnsi="Verdana"/>
          <w:sz w:val="22"/>
          <w:szCs w:val="22"/>
        </w:rPr>
        <w:t>2015</w:t>
      </w:r>
    </w:p>
    <w:p w14:paraId="1509877D" w14:textId="7C5DF203" w:rsidR="00F42D2F" w:rsidRPr="00F42D2F" w:rsidRDefault="00F42D2F" w:rsidP="00F42D2F">
      <w:pPr>
        <w:jc w:val="center"/>
        <w:rPr>
          <w:rFonts w:ascii="Verdana" w:hAnsi="Verdana"/>
          <w:b/>
          <w:bCs/>
          <w:sz w:val="22"/>
          <w:szCs w:val="22"/>
        </w:rPr>
      </w:pPr>
      <w:r w:rsidRPr="00F42D2F">
        <w:rPr>
          <w:rFonts w:ascii="Verdana" w:hAnsi="Verdana"/>
          <w:b/>
          <w:bCs/>
          <w:sz w:val="22"/>
          <w:szCs w:val="22"/>
        </w:rPr>
        <w:t>CRISTINA PLAZAS MICHELSEN</w:t>
      </w:r>
    </w:p>
    <w:p w14:paraId="69156C6B" w14:textId="254BCF08" w:rsidR="00F42D2F" w:rsidRPr="00F42D2F" w:rsidRDefault="00F42D2F" w:rsidP="00F42D2F">
      <w:pPr>
        <w:jc w:val="center"/>
        <w:rPr>
          <w:rFonts w:ascii="Verdana" w:hAnsi="Verdana"/>
          <w:sz w:val="22"/>
          <w:szCs w:val="22"/>
        </w:rPr>
      </w:pPr>
      <w:r w:rsidRPr="00F42D2F">
        <w:rPr>
          <w:rFonts w:ascii="Verdana" w:hAnsi="Verdana"/>
          <w:sz w:val="22"/>
          <w:szCs w:val="22"/>
        </w:rPr>
        <w:t>DIRECTORA GENERAL</w:t>
      </w:r>
    </w:p>
    <w:sectPr w:rsidR="00F42D2F" w:rsidRPr="00F42D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D2D01"/>
    <w:multiLevelType w:val="hybridMultilevel"/>
    <w:tmpl w:val="64BE6B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3353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99"/>
    <w:rsid w:val="00015D2A"/>
    <w:rsid w:val="00490B89"/>
    <w:rsid w:val="00550F5C"/>
    <w:rsid w:val="00566B2C"/>
    <w:rsid w:val="0088588F"/>
    <w:rsid w:val="0099120D"/>
    <w:rsid w:val="00BF6B99"/>
    <w:rsid w:val="00F42D2F"/>
    <w:rsid w:val="00F816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C913"/>
  <w15:chartTrackingRefBased/>
  <w15:docId w15:val="{C64EB6A7-9D95-4CD8-BE32-99374F57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621"/>
  </w:style>
  <w:style w:type="paragraph" w:styleId="Ttulo1">
    <w:name w:val="heading 1"/>
    <w:basedOn w:val="Normal"/>
    <w:next w:val="Normal"/>
    <w:link w:val="Ttulo1Car"/>
    <w:uiPriority w:val="9"/>
    <w:qFormat/>
    <w:rsid w:val="00BF6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6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6B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6B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F6B9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F6B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F6B9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F6B9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F6B9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6B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6B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6B9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6B9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F6B9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F6B9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F6B9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F6B9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F6B9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F6B9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6B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6B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6B9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F6B99"/>
    <w:pPr>
      <w:spacing w:before="160"/>
      <w:jc w:val="center"/>
    </w:pPr>
    <w:rPr>
      <w:i/>
      <w:iCs/>
      <w:color w:val="404040" w:themeColor="text1" w:themeTint="BF"/>
    </w:rPr>
  </w:style>
  <w:style w:type="character" w:customStyle="1" w:styleId="CitaCar">
    <w:name w:val="Cita Car"/>
    <w:basedOn w:val="Fuentedeprrafopredeter"/>
    <w:link w:val="Cita"/>
    <w:uiPriority w:val="29"/>
    <w:rsid w:val="00BF6B99"/>
    <w:rPr>
      <w:i/>
      <w:iCs/>
      <w:color w:val="404040" w:themeColor="text1" w:themeTint="BF"/>
    </w:rPr>
  </w:style>
  <w:style w:type="paragraph" w:styleId="Prrafodelista">
    <w:name w:val="List Paragraph"/>
    <w:basedOn w:val="Normal"/>
    <w:uiPriority w:val="34"/>
    <w:qFormat/>
    <w:rsid w:val="00BF6B99"/>
    <w:pPr>
      <w:ind w:left="720"/>
      <w:contextualSpacing/>
    </w:pPr>
  </w:style>
  <w:style w:type="character" w:styleId="nfasisintenso">
    <w:name w:val="Intense Emphasis"/>
    <w:basedOn w:val="Fuentedeprrafopredeter"/>
    <w:uiPriority w:val="21"/>
    <w:qFormat/>
    <w:rsid w:val="00BF6B99"/>
    <w:rPr>
      <w:i/>
      <w:iCs/>
      <w:color w:val="0F4761" w:themeColor="accent1" w:themeShade="BF"/>
    </w:rPr>
  </w:style>
  <w:style w:type="paragraph" w:styleId="Citadestacada">
    <w:name w:val="Intense Quote"/>
    <w:basedOn w:val="Normal"/>
    <w:next w:val="Normal"/>
    <w:link w:val="CitadestacadaCar"/>
    <w:uiPriority w:val="30"/>
    <w:qFormat/>
    <w:rsid w:val="00BF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6B99"/>
    <w:rPr>
      <w:i/>
      <w:iCs/>
      <w:color w:val="0F4761" w:themeColor="accent1" w:themeShade="BF"/>
    </w:rPr>
  </w:style>
  <w:style w:type="character" w:styleId="Referenciaintensa">
    <w:name w:val="Intense Reference"/>
    <w:basedOn w:val="Fuentedeprrafopredeter"/>
    <w:uiPriority w:val="32"/>
    <w:qFormat/>
    <w:rsid w:val="00BF6B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BC274-4EC3-4142-A672-CF03CD494417}"/>
</file>

<file path=customXml/itemProps2.xml><?xml version="1.0" encoding="utf-8"?>
<ds:datastoreItem xmlns:ds="http://schemas.openxmlformats.org/officeDocument/2006/customXml" ds:itemID="{FEABED72-C7D8-40C3-84C3-5765DDAB9555}"/>
</file>

<file path=customXml/itemProps3.xml><?xml version="1.0" encoding="utf-8"?>
<ds:datastoreItem xmlns:ds="http://schemas.openxmlformats.org/officeDocument/2006/customXml" ds:itemID="{92ED3FA4-213D-4640-95C5-33E5209F4D42}"/>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2714</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2026-02-11T16:40:00Z</dcterms:created>
  <dcterms:modified xsi:type="dcterms:W3CDTF">2026-02-11T16:44:00Z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