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8721" w14:textId="0E57E30B" w:rsidR="00392F16" w:rsidRPr="00392F16" w:rsidRDefault="00392F16" w:rsidP="00392F16">
      <w:pPr>
        <w:jc w:val="center"/>
        <w:rPr>
          <w:rFonts w:ascii="Verdana" w:hAnsi="Verdana"/>
          <w:b/>
          <w:bCs/>
          <w:sz w:val="22"/>
          <w:szCs w:val="22"/>
        </w:rPr>
      </w:pPr>
      <w:r w:rsidRPr="007D7C0F">
        <w:rPr>
          <w:rFonts w:ascii="Verdana" w:hAnsi="Verdana"/>
          <w:b/>
          <w:bCs/>
          <w:sz w:val="22"/>
          <w:szCs w:val="22"/>
        </w:rPr>
        <w:t>RESOLUCIÓN 11218 DE 2015</w:t>
      </w:r>
    </w:p>
    <w:p w14:paraId="58AF7F9E" w14:textId="0D323DA4" w:rsidR="00F9438D" w:rsidRPr="003530BC" w:rsidRDefault="00F9438D" w:rsidP="00255FC7">
      <w:pPr>
        <w:rPr>
          <w:rFonts w:ascii="Verdana" w:hAnsi="Verdana"/>
          <w:sz w:val="20"/>
          <w:szCs w:val="20"/>
        </w:rPr>
      </w:pPr>
      <w:r w:rsidRPr="003530BC">
        <w:rPr>
          <w:rFonts w:ascii="Verdana" w:hAnsi="Verdana"/>
          <w:sz w:val="20"/>
          <w:szCs w:val="20"/>
        </w:rPr>
        <w:t xml:space="preserve">Fecha de Expedición: </w:t>
      </w:r>
      <w:r w:rsidRPr="00392F16">
        <w:rPr>
          <w:rFonts w:ascii="Verdana" w:hAnsi="Verdana"/>
          <w:sz w:val="20"/>
          <w:szCs w:val="20"/>
        </w:rPr>
        <w:t>30</w:t>
      </w:r>
      <w:r w:rsidRPr="003530BC">
        <w:rPr>
          <w:rFonts w:ascii="Verdana" w:hAnsi="Verdana"/>
          <w:sz w:val="20"/>
          <w:szCs w:val="20"/>
        </w:rPr>
        <w:t xml:space="preserve"> de diciembre de 2015</w:t>
      </w:r>
    </w:p>
    <w:p w14:paraId="5FBFBD7A" w14:textId="77777777" w:rsidR="00F9438D" w:rsidRPr="003530BC" w:rsidRDefault="00F9438D" w:rsidP="00255FC7">
      <w:pPr>
        <w:rPr>
          <w:rFonts w:ascii="Verdana" w:hAnsi="Verdana"/>
          <w:sz w:val="20"/>
          <w:szCs w:val="20"/>
        </w:rPr>
      </w:pPr>
      <w:r w:rsidRPr="003530BC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3530BC">
        <w:rPr>
          <w:rFonts w:ascii="Verdana" w:hAnsi="Verdana"/>
          <w:sz w:val="20"/>
          <w:szCs w:val="20"/>
        </w:rPr>
        <w:t>entrada en vigencia</w:t>
      </w:r>
      <w:proofErr w:type="gramEnd"/>
      <w:r w:rsidRPr="003530BC">
        <w:rPr>
          <w:rFonts w:ascii="Verdana" w:hAnsi="Verdana"/>
          <w:sz w:val="20"/>
          <w:szCs w:val="20"/>
        </w:rPr>
        <w:t xml:space="preserve">:  </w:t>
      </w:r>
      <w:r w:rsidRPr="00392F16">
        <w:rPr>
          <w:rFonts w:ascii="Verdana" w:hAnsi="Verdana"/>
          <w:sz w:val="20"/>
          <w:szCs w:val="20"/>
        </w:rPr>
        <w:t>30</w:t>
      </w:r>
      <w:r w:rsidRPr="003530BC">
        <w:rPr>
          <w:rFonts w:ascii="Verdana" w:hAnsi="Verdana"/>
          <w:sz w:val="20"/>
          <w:szCs w:val="20"/>
        </w:rPr>
        <w:t xml:space="preserve"> de diciembre de 2015</w:t>
      </w:r>
    </w:p>
    <w:p w14:paraId="59D4ECA7" w14:textId="77777777" w:rsidR="00F9438D" w:rsidRPr="003530BC" w:rsidRDefault="00F9438D" w:rsidP="00255FC7">
      <w:pPr>
        <w:rPr>
          <w:rFonts w:ascii="Verdana" w:hAnsi="Verdana"/>
          <w:sz w:val="20"/>
          <w:szCs w:val="20"/>
        </w:rPr>
      </w:pPr>
      <w:r w:rsidRPr="003530BC">
        <w:rPr>
          <w:rFonts w:ascii="Verdana" w:hAnsi="Verdana"/>
          <w:sz w:val="20"/>
          <w:szCs w:val="20"/>
        </w:rPr>
        <w:t>Estado de la vigencia: vigente</w:t>
      </w:r>
    </w:p>
    <w:p w14:paraId="58879BC2" w14:textId="77777777" w:rsidR="00F9438D" w:rsidRPr="003530BC" w:rsidRDefault="00F9438D" w:rsidP="00255FC7">
      <w:pPr>
        <w:rPr>
          <w:rFonts w:ascii="Verdana" w:hAnsi="Verdana"/>
          <w:sz w:val="20"/>
          <w:szCs w:val="20"/>
        </w:rPr>
      </w:pPr>
    </w:p>
    <w:p w14:paraId="656F3A31" w14:textId="77777777" w:rsidR="00F9438D" w:rsidRPr="003530BC" w:rsidRDefault="00F9438D" w:rsidP="00255FC7">
      <w:pPr>
        <w:rPr>
          <w:rFonts w:ascii="Verdana" w:hAnsi="Verdana"/>
          <w:sz w:val="20"/>
          <w:szCs w:val="20"/>
        </w:rPr>
      </w:pPr>
      <w:r w:rsidRPr="003530BC">
        <w:rPr>
          <w:rFonts w:ascii="Verdana" w:hAnsi="Verdana"/>
          <w:sz w:val="20"/>
          <w:szCs w:val="20"/>
        </w:rPr>
        <w:t>Fecha de publicación en Diario Oficial: N/A</w:t>
      </w:r>
    </w:p>
    <w:p w14:paraId="77184609" w14:textId="77777777" w:rsidR="00F9438D" w:rsidRPr="00392F16" w:rsidRDefault="00F9438D" w:rsidP="00255FC7">
      <w:pPr>
        <w:rPr>
          <w:rFonts w:ascii="Verdana" w:hAnsi="Verdana"/>
          <w:sz w:val="20"/>
          <w:szCs w:val="20"/>
        </w:rPr>
      </w:pPr>
      <w:r w:rsidRPr="003530BC">
        <w:rPr>
          <w:rFonts w:ascii="Verdana" w:hAnsi="Verdana"/>
          <w:sz w:val="20"/>
          <w:szCs w:val="20"/>
        </w:rPr>
        <w:t>Número del Diario Oficial: N/A</w:t>
      </w:r>
    </w:p>
    <w:p w14:paraId="16994C45" w14:textId="6EB9EF6F" w:rsidR="00255FC7" w:rsidRPr="007D7C0F" w:rsidRDefault="00255FC7" w:rsidP="007D7C0F">
      <w:pPr>
        <w:jc w:val="center"/>
        <w:rPr>
          <w:rFonts w:ascii="Verdana" w:hAnsi="Verdana"/>
          <w:b/>
          <w:bCs/>
          <w:sz w:val="22"/>
          <w:szCs w:val="22"/>
        </w:rPr>
      </w:pPr>
      <w:r w:rsidRPr="007D7C0F">
        <w:rPr>
          <w:rFonts w:ascii="Verdana" w:hAnsi="Verdana"/>
          <w:b/>
          <w:bCs/>
          <w:sz w:val="22"/>
          <w:szCs w:val="22"/>
        </w:rPr>
        <w:t>RESOLUCIÓN 11218 DE 2015</w:t>
      </w:r>
    </w:p>
    <w:p w14:paraId="120FBADA" w14:textId="3A658578" w:rsidR="00255FC7" w:rsidRPr="007D7C0F" w:rsidRDefault="00255FC7" w:rsidP="007D7C0F">
      <w:pPr>
        <w:jc w:val="center"/>
        <w:rPr>
          <w:rFonts w:ascii="Verdana" w:hAnsi="Verdana"/>
          <w:b/>
          <w:bCs/>
          <w:sz w:val="22"/>
          <w:szCs w:val="22"/>
        </w:rPr>
      </w:pPr>
      <w:r w:rsidRPr="007D7C0F">
        <w:rPr>
          <w:rFonts w:ascii="Verdana" w:hAnsi="Verdana"/>
          <w:b/>
          <w:bCs/>
          <w:sz w:val="22"/>
          <w:szCs w:val="22"/>
        </w:rPr>
        <w:t>(</w:t>
      </w:r>
      <w:r w:rsidR="007D7C0F" w:rsidRPr="007D7C0F">
        <w:rPr>
          <w:rFonts w:ascii="Verdana" w:hAnsi="Verdana"/>
          <w:b/>
          <w:bCs/>
          <w:sz w:val="22"/>
          <w:szCs w:val="22"/>
        </w:rPr>
        <w:t xml:space="preserve">30 de </w:t>
      </w:r>
      <w:r w:rsidRPr="007D7C0F">
        <w:rPr>
          <w:rFonts w:ascii="Verdana" w:hAnsi="Verdana"/>
          <w:b/>
          <w:bCs/>
          <w:sz w:val="22"/>
          <w:szCs w:val="22"/>
        </w:rPr>
        <w:t>diciembre)</w:t>
      </w:r>
    </w:p>
    <w:p w14:paraId="3799D78C" w14:textId="6787CFCD" w:rsidR="00255FC7" w:rsidRPr="007D7C0F" w:rsidRDefault="00255FC7" w:rsidP="007D7C0F">
      <w:pPr>
        <w:jc w:val="center"/>
        <w:rPr>
          <w:rFonts w:ascii="Verdana" w:hAnsi="Verdana"/>
          <w:b/>
          <w:bCs/>
          <w:sz w:val="22"/>
          <w:szCs w:val="22"/>
        </w:rPr>
      </w:pPr>
      <w:r w:rsidRPr="007D7C0F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2051B8FF" w14:textId="38301F2D" w:rsidR="00255FC7" w:rsidRPr="00255FC7" w:rsidRDefault="007D7C0F" w:rsidP="007D7C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255FC7" w:rsidRPr="00255FC7">
        <w:rPr>
          <w:rFonts w:ascii="Verdana" w:hAnsi="Verdana"/>
          <w:sz w:val="22"/>
          <w:szCs w:val="22"/>
        </w:rPr>
        <w:t>Por la cual se distribuye y asigna el presupuesto de Gastos del Instituto Colombiano de Bienestar Familiar a Nivel Nacional, Sede de la Dirección General y Regionales, para la Vigencia fiscal del año 2016.</w:t>
      </w:r>
      <w:r>
        <w:rPr>
          <w:rFonts w:ascii="Verdana" w:hAnsi="Verdana"/>
          <w:sz w:val="22"/>
          <w:szCs w:val="22"/>
        </w:rPr>
        <w:t>”</w:t>
      </w:r>
    </w:p>
    <w:p w14:paraId="08A9A013" w14:textId="3197D47B" w:rsidR="00255FC7" w:rsidRPr="007D7C0F" w:rsidRDefault="00255FC7" w:rsidP="007D7C0F">
      <w:pPr>
        <w:jc w:val="center"/>
        <w:rPr>
          <w:rFonts w:ascii="Verdana" w:hAnsi="Verdana"/>
          <w:b/>
          <w:bCs/>
          <w:sz w:val="22"/>
          <w:szCs w:val="22"/>
        </w:rPr>
      </w:pPr>
      <w:r w:rsidRPr="007D7C0F">
        <w:rPr>
          <w:rFonts w:ascii="Verdana" w:hAnsi="Verdana"/>
          <w:b/>
          <w:bCs/>
          <w:sz w:val="22"/>
          <w:szCs w:val="22"/>
        </w:rPr>
        <w:t>EL DIRECTOR GENERAL DEL INSTITUTO COLOMBIANO DE BIENESTAR FAMILIAR</w:t>
      </w:r>
    </w:p>
    <w:p w14:paraId="24487466" w14:textId="036F28DA" w:rsidR="00255FC7" w:rsidRPr="00255FC7" w:rsidRDefault="00255FC7" w:rsidP="007D7C0F">
      <w:pPr>
        <w:jc w:val="center"/>
        <w:rPr>
          <w:rFonts w:ascii="Verdana" w:hAnsi="Verdana"/>
          <w:sz w:val="22"/>
          <w:szCs w:val="22"/>
        </w:rPr>
      </w:pPr>
      <w:r w:rsidRPr="00255FC7">
        <w:rPr>
          <w:rFonts w:ascii="Verdana" w:hAnsi="Verdana"/>
          <w:sz w:val="22"/>
          <w:szCs w:val="22"/>
        </w:rPr>
        <w:t>en uso de sus facultades legales y estatutarias y en especial las conferidas en el artículo 78 de la Ley 489 de 1998.</w:t>
      </w:r>
    </w:p>
    <w:p w14:paraId="2503B302" w14:textId="0D31290C" w:rsidR="00255FC7" w:rsidRPr="007D7C0F" w:rsidRDefault="00255FC7" w:rsidP="007D7C0F">
      <w:pPr>
        <w:jc w:val="center"/>
        <w:rPr>
          <w:rFonts w:ascii="Verdana" w:hAnsi="Verdana"/>
          <w:b/>
          <w:bCs/>
          <w:sz w:val="22"/>
          <w:szCs w:val="22"/>
        </w:rPr>
      </w:pPr>
      <w:r w:rsidRPr="007D7C0F">
        <w:rPr>
          <w:rFonts w:ascii="Verdana" w:hAnsi="Verdana"/>
          <w:b/>
          <w:bCs/>
          <w:sz w:val="22"/>
          <w:szCs w:val="22"/>
        </w:rPr>
        <w:t>CONSIDERANDO:</w:t>
      </w:r>
    </w:p>
    <w:p w14:paraId="36DBD08B" w14:textId="0FFA91C3" w:rsidR="00255FC7" w:rsidRPr="007D7C0F" w:rsidRDefault="00255FC7" w:rsidP="007D7C0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D7C0F">
        <w:rPr>
          <w:rFonts w:ascii="Verdana" w:hAnsi="Verdana"/>
          <w:sz w:val="22"/>
          <w:szCs w:val="22"/>
        </w:rPr>
        <w:t xml:space="preserve">Que mediante Ley 1769 del 24 de </w:t>
      </w:r>
      <w:proofErr w:type="gramStart"/>
      <w:r w:rsidRPr="007D7C0F">
        <w:rPr>
          <w:rFonts w:ascii="Verdana" w:hAnsi="Verdana"/>
          <w:sz w:val="22"/>
          <w:szCs w:val="22"/>
        </w:rPr>
        <w:t>Noviembre</w:t>
      </w:r>
      <w:proofErr w:type="gramEnd"/>
      <w:r w:rsidRPr="007D7C0F">
        <w:rPr>
          <w:rFonts w:ascii="Verdana" w:hAnsi="Verdana"/>
          <w:sz w:val="22"/>
          <w:szCs w:val="22"/>
        </w:rPr>
        <w:t xml:space="preserve"> de 2015, se decretó el Presupuesto de Rentas y Recursos de Capital y la Ley de Apropiaciones para la Vigencia Fiscal del 1 de </w:t>
      </w:r>
      <w:proofErr w:type="gramStart"/>
      <w:r w:rsidRPr="007D7C0F">
        <w:rPr>
          <w:rFonts w:ascii="Verdana" w:hAnsi="Verdana"/>
          <w:sz w:val="22"/>
          <w:szCs w:val="22"/>
        </w:rPr>
        <w:t>Enero</w:t>
      </w:r>
      <w:proofErr w:type="gramEnd"/>
      <w:r w:rsidRPr="007D7C0F">
        <w:rPr>
          <w:rFonts w:ascii="Verdana" w:hAnsi="Verdana"/>
          <w:sz w:val="22"/>
          <w:szCs w:val="22"/>
        </w:rPr>
        <w:t xml:space="preserve"> al 31 de </w:t>
      </w:r>
      <w:proofErr w:type="gramStart"/>
      <w:r w:rsidRPr="007D7C0F">
        <w:rPr>
          <w:rFonts w:ascii="Verdana" w:hAnsi="Verdana"/>
          <w:sz w:val="22"/>
          <w:szCs w:val="22"/>
        </w:rPr>
        <w:t>Diciembre</w:t>
      </w:r>
      <w:proofErr w:type="gramEnd"/>
      <w:r w:rsidRPr="007D7C0F">
        <w:rPr>
          <w:rFonts w:ascii="Verdana" w:hAnsi="Verdana"/>
          <w:sz w:val="22"/>
          <w:szCs w:val="22"/>
        </w:rPr>
        <w:t xml:space="preserve"> de 2016.</w:t>
      </w:r>
    </w:p>
    <w:p w14:paraId="008CC3B6" w14:textId="2873FE97" w:rsidR="00255FC7" w:rsidRPr="007D7C0F" w:rsidRDefault="00255FC7" w:rsidP="007D7C0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D7C0F">
        <w:rPr>
          <w:rFonts w:ascii="Verdana" w:hAnsi="Verdana"/>
          <w:sz w:val="22"/>
          <w:szCs w:val="22"/>
        </w:rPr>
        <w:t xml:space="preserve">Que mediante Decreto No.2550 del 30 de </w:t>
      </w:r>
      <w:proofErr w:type="gramStart"/>
      <w:r w:rsidRPr="007D7C0F">
        <w:rPr>
          <w:rFonts w:ascii="Verdana" w:hAnsi="Verdana"/>
          <w:sz w:val="22"/>
          <w:szCs w:val="22"/>
        </w:rPr>
        <w:t>Diciembre</w:t>
      </w:r>
      <w:proofErr w:type="gramEnd"/>
      <w:r w:rsidRPr="007D7C0F">
        <w:rPr>
          <w:rFonts w:ascii="Verdana" w:hAnsi="Verdana"/>
          <w:sz w:val="22"/>
          <w:szCs w:val="22"/>
        </w:rPr>
        <w:t xml:space="preserve"> de 2015, por el cual se liquida el Presupuesto General de la Nación para la Vigencia Fiscal de 2016, se detallan las Apropiaciones y se clasifican y definen los gastos, el cual incluye el Presupuesto para el Instituto Colombiano de Bienestar Familiar para la Vigencia Fiscal 2016.</w:t>
      </w:r>
    </w:p>
    <w:p w14:paraId="40CA557E" w14:textId="688205EF" w:rsidR="00255FC7" w:rsidRPr="007D7C0F" w:rsidRDefault="00255FC7" w:rsidP="007D7C0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D7C0F">
        <w:rPr>
          <w:rFonts w:ascii="Verdana" w:hAnsi="Verdana"/>
          <w:sz w:val="22"/>
          <w:szCs w:val="22"/>
        </w:rPr>
        <w:t>Que de conformidad a lo dispuesto en el artículo 2.8.3.1.10 del Decreto 1068 del 26 de Mayo de 2015, “la responsabilidad de la desagregación del presupuesto de ingresos y gastos, conforme a las cuantías aprobadas por el CONFIS o quien este delegue, será de los gerentes, presidentes o directores, quienes presentaran un informe de la desagregación a la Junta o Consejo Directivo, para sus observaciones, modificaciones y refrendación mediante resolución o acuerdo, antes del 1 de febrero de cada año.</w:t>
      </w:r>
    </w:p>
    <w:p w14:paraId="570C492B" w14:textId="67D797B8" w:rsidR="00255FC7" w:rsidRPr="007D7C0F" w:rsidRDefault="00255FC7" w:rsidP="007D7C0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D7C0F">
        <w:rPr>
          <w:rFonts w:ascii="Verdana" w:hAnsi="Verdana"/>
          <w:sz w:val="22"/>
          <w:szCs w:val="22"/>
        </w:rPr>
        <w:t>En la distribución se dará prioridad a los sueldos de personal, prestaciones sociales, servicios públicos, seguros, mantenimiento, sentencias y trasferencias asociadas a la nómina.</w:t>
      </w:r>
    </w:p>
    <w:p w14:paraId="327931C3" w14:textId="5993B655" w:rsidR="00255FC7" w:rsidRPr="007D7C0F" w:rsidRDefault="00255FC7" w:rsidP="007D7C0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D7C0F">
        <w:rPr>
          <w:rFonts w:ascii="Verdana" w:hAnsi="Verdana"/>
          <w:sz w:val="22"/>
          <w:szCs w:val="22"/>
        </w:rPr>
        <w:t xml:space="preserve">La ejecución del presupuesto podrá iniciarse con la desagregación efectuada por los gerentes, presidentes o directores de las empresas. El presupuesto distribuido se remitirá al Ministerio de Hacienda y Crédito </w:t>
      </w:r>
      <w:r w:rsidRPr="007D7C0F">
        <w:rPr>
          <w:rFonts w:ascii="Verdana" w:hAnsi="Verdana"/>
          <w:sz w:val="22"/>
          <w:szCs w:val="22"/>
        </w:rPr>
        <w:lastRenderedPageBreak/>
        <w:t>Público Dirección General del Presupuesto Público Nacional y al Departamento Nacional de Planeación a más tardar el 15 de febrero de cada año."</w:t>
      </w:r>
    </w:p>
    <w:p w14:paraId="5E1D0E29" w14:textId="158BAAA7" w:rsidR="00255FC7" w:rsidRPr="007D7C0F" w:rsidRDefault="00255FC7" w:rsidP="007D7C0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D7C0F">
        <w:rPr>
          <w:rFonts w:ascii="Verdana" w:hAnsi="Verdana"/>
          <w:sz w:val="22"/>
          <w:szCs w:val="22"/>
        </w:rPr>
        <w:t xml:space="preserve">Que el presupuesto de ingresos del Instituto Colombiano de Bienestar </w:t>
      </w:r>
      <w:proofErr w:type="gramStart"/>
      <w:r w:rsidRPr="007D7C0F">
        <w:rPr>
          <w:rFonts w:ascii="Verdana" w:hAnsi="Verdana"/>
          <w:sz w:val="22"/>
          <w:szCs w:val="22"/>
        </w:rPr>
        <w:t>Familiar,</w:t>
      </w:r>
      <w:proofErr w:type="gramEnd"/>
      <w:r w:rsidRPr="007D7C0F">
        <w:rPr>
          <w:rFonts w:ascii="Verdana" w:hAnsi="Verdana"/>
          <w:sz w:val="22"/>
          <w:szCs w:val="22"/>
        </w:rPr>
        <w:t xml:space="preserve"> se maneja de manera centralizada en el Nivel Nacional.</w:t>
      </w:r>
    </w:p>
    <w:p w14:paraId="11728DB9" w14:textId="33B38722" w:rsidR="00255FC7" w:rsidRPr="007D7C0F" w:rsidRDefault="00255FC7" w:rsidP="007D7C0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7D7C0F">
        <w:rPr>
          <w:rFonts w:ascii="Verdana" w:hAnsi="Verdana"/>
          <w:sz w:val="22"/>
          <w:szCs w:val="22"/>
        </w:rPr>
        <w:t>Que</w:t>
      </w:r>
      <w:proofErr w:type="gramEnd"/>
      <w:r w:rsidRPr="007D7C0F">
        <w:rPr>
          <w:rFonts w:ascii="Verdana" w:hAnsi="Verdana"/>
          <w:sz w:val="22"/>
          <w:szCs w:val="22"/>
        </w:rPr>
        <w:t xml:space="preserve"> para el registro y control de la ejecución del Presupuesto de Gastos, se hace necesario asignar y distribuir la apropiación a las Regionales y Sede de la Dirección General para la vigencia fiscal 2016.</w:t>
      </w:r>
    </w:p>
    <w:p w14:paraId="744C1530" w14:textId="697C5527" w:rsidR="00255FC7" w:rsidRPr="007D7C0F" w:rsidRDefault="00255FC7" w:rsidP="007D7C0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7D7C0F">
        <w:rPr>
          <w:rFonts w:ascii="Verdana" w:hAnsi="Verdana"/>
          <w:sz w:val="22"/>
          <w:szCs w:val="22"/>
        </w:rPr>
        <w:t>Que</w:t>
      </w:r>
      <w:proofErr w:type="gramEnd"/>
      <w:r w:rsidRPr="007D7C0F">
        <w:rPr>
          <w:rFonts w:ascii="Verdana" w:hAnsi="Verdana"/>
          <w:sz w:val="22"/>
          <w:szCs w:val="22"/>
        </w:rPr>
        <w:t xml:space="preserve"> en mérito de lo expuesto,</w:t>
      </w:r>
    </w:p>
    <w:p w14:paraId="1463CD55" w14:textId="0890466E" w:rsidR="00255FC7" w:rsidRPr="00AD348D" w:rsidRDefault="00255FC7" w:rsidP="00AD348D">
      <w:pPr>
        <w:jc w:val="center"/>
        <w:rPr>
          <w:rFonts w:ascii="Verdana" w:hAnsi="Verdana"/>
          <w:b/>
          <w:bCs/>
          <w:sz w:val="22"/>
          <w:szCs w:val="22"/>
        </w:rPr>
      </w:pPr>
      <w:r w:rsidRPr="00AD348D">
        <w:rPr>
          <w:rFonts w:ascii="Verdana" w:hAnsi="Verdana"/>
          <w:b/>
          <w:bCs/>
          <w:sz w:val="22"/>
          <w:szCs w:val="22"/>
        </w:rPr>
        <w:t>RESUELVE:</w:t>
      </w:r>
    </w:p>
    <w:p w14:paraId="53C8ECE0" w14:textId="31B301A6" w:rsidR="00255FC7" w:rsidRPr="00255FC7" w:rsidRDefault="00255FC7" w:rsidP="00255FC7">
      <w:pPr>
        <w:rPr>
          <w:rFonts w:ascii="Verdana" w:hAnsi="Verdana"/>
          <w:sz w:val="22"/>
          <w:szCs w:val="22"/>
        </w:rPr>
      </w:pPr>
      <w:r w:rsidRPr="00AD348D">
        <w:rPr>
          <w:rFonts w:ascii="Verdana" w:hAnsi="Verdana"/>
          <w:b/>
          <w:bCs/>
          <w:sz w:val="22"/>
          <w:szCs w:val="22"/>
        </w:rPr>
        <w:t xml:space="preserve">ARTICULO </w:t>
      </w:r>
      <w:r w:rsidR="00AD348D" w:rsidRPr="00AD348D">
        <w:rPr>
          <w:rFonts w:ascii="Verdana" w:hAnsi="Verdana"/>
          <w:b/>
          <w:bCs/>
          <w:sz w:val="22"/>
          <w:szCs w:val="22"/>
        </w:rPr>
        <w:t>1o</w:t>
      </w:r>
      <w:r w:rsidRPr="00AD348D">
        <w:rPr>
          <w:rFonts w:ascii="Verdana" w:hAnsi="Verdana"/>
          <w:b/>
          <w:bCs/>
          <w:sz w:val="22"/>
          <w:szCs w:val="22"/>
        </w:rPr>
        <w:t>.</w:t>
      </w:r>
      <w:r w:rsidRPr="00255FC7">
        <w:rPr>
          <w:rFonts w:ascii="Verdana" w:hAnsi="Verdana"/>
          <w:sz w:val="22"/>
          <w:szCs w:val="22"/>
        </w:rPr>
        <w:t xml:space="preserve"> CONSOLIDACIÓN DEL PRESUPUESTO DE INGRESOS: El Presupuesto de Ingresos asignado al Instituto Colombiano de Bienestar Familiar, asciende a la suma de: CINCO BILLONES DOSCIENTOS TREINTA Y TRES MIL QUINIENTOS OCHENTA Y UN MILLONES SEISCIENTOS DOS MIL CUATROCIENTOS OCHO PESOS M/CTE. ($5.233.581.602.408) el cual se recaudará en las Unidades Ejecutoras y en el Nivel Nacional, y su registro y control presupuestal se realiza en forma consolidada en el Nivel Nacional.</w:t>
      </w:r>
    </w:p>
    <w:tbl>
      <w:tblPr>
        <w:tblStyle w:val="Tablaconcuadrcula"/>
        <w:tblW w:w="5050" w:type="pct"/>
        <w:tblLook w:val="04A0" w:firstRow="1" w:lastRow="0" w:firstColumn="1" w:lastColumn="0" w:noHBand="0" w:noVBand="1"/>
      </w:tblPr>
      <w:tblGrid>
        <w:gridCol w:w="1328"/>
        <w:gridCol w:w="4628"/>
        <w:gridCol w:w="2960"/>
      </w:tblGrid>
      <w:tr w:rsidR="009E5599" w:rsidRPr="009E5599" w14:paraId="01995377" w14:textId="77777777" w:rsidTr="009E5599">
        <w:tc>
          <w:tcPr>
            <w:tcW w:w="900" w:type="pct"/>
            <w:hideMark/>
          </w:tcPr>
          <w:p w14:paraId="2B40FAAD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b/>
                <w:bCs/>
                <w:sz w:val="22"/>
                <w:szCs w:val="22"/>
              </w:rPr>
              <w:t>Rubro</w:t>
            </w:r>
          </w:p>
        </w:tc>
        <w:tc>
          <w:tcPr>
            <w:tcW w:w="2750" w:type="pct"/>
            <w:hideMark/>
          </w:tcPr>
          <w:p w14:paraId="76DD8D72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350" w:type="pct"/>
            <w:hideMark/>
          </w:tcPr>
          <w:p w14:paraId="2C883D02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b/>
                <w:bCs/>
                <w:sz w:val="22"/>
                <w:szCs w:val="22"/>
              </w:rPr>
              <w:t>Valor</w:t>
            </w:r>
          </w:p>
        </w:tc>
      </w:tr>
      <w:tr w:rsidR="009E5599" w:rsidRPr="009E5599" w14:paraId="4A8AE638" w14:textId="77777777" w:rsidTr="009E5599">
        <w:tc>
          <w:tcPr>
            <w:tcW w:w="900" w:type="pct"/>
            <w:hideMark/>
          </w:tcPr>
          <w:p w14:paraId="7223B89F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3-1-2-8</w:t>
            </w:r>
          </w:p>
        </w:tc>
        <w:tc>
          <w:tcPr>
            <w:tcW w:w="2750" w:type="pct"/>
            <w:hideMark/>
          </w:tcPr>
          <w:p w14:paraId="5F6E9509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OTROS INGRESOS</w:t>
            </w:r>
          </w:p>
        </w:tc>
        <w:tc>
          <w:tcPr>
            <w:tcW w:w="1350" w:type="pct"/>
            <w:hideMark/>
          </w:tcPr>
          <w:p w14:paraId="30586797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363,599,569.00</w:t>
            </w:r>
          </w:p>
        </w:tc>
      </w:tr>
      <w:tr w:rsidR="009E5599" w:rsidRPr="009E5599" w14:paraId="4BCA569A" w14:textId="77777777" w:rsidTr="009E5599">
        <w:tc>
          <w:tcPr>
            <w:tcW w:w="900" w:type="pct"/>
            <w:hideMark/>
          </w:tcPr>
          <w:p w14:paraId="4DAECE6E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3-2-3-0</w:t>
            </w:r>
          </w:p>
        </w:tc>
        <w:tc>
          <w:tcPr>
            <w:tcW w:w="2750" w:type="pct"/>
            <w:hideMark/>
          </w:tcPr>
          <w:p w14:paraId="463234DE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RENDIMIENTOS FINANCIEROS</w:t>
            </w:r>
          </w:p>
        </w:tc>
        <w:tc>
          <w:tcPr>
            <w:tcW w:w="1350" w:type="pct"/>
            <w:hideMark/>
          </w:tcPr>
          <w:p w14:paraId="0F22F980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86,593,083,009.00</w:t>
            </w:r>
          </w:p>
        </w:tc>
      </w:tr>
      <w:tr w:rsidR="009E5599" w:rsidRPr="009E5599" w14:paraId="149FB1F5" w14:textId="77777777" w:rsidTr="009E5599">
        <w:tc>
          <w:tcPr>
            <w:tcW w:w="900" w:type="pct"/>
            <w:hideMark/>
          </w:tcPr>
          <w:p w14:paraId="2C692724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3-2-5-1</w:t>
            </w:r>
          </w:p>
        </w:tc>
        <w:tc>
          <w:tcPr>
            <w:tcW w:w="2750" w:type="pct"/>
            <w:hideMark/>
          </w:tcPr>
          <w:p w14:paraId="590F57B5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VENTA DE ACTIVOS</w:t>
            </w:r>
          </w:p>
        </w:tc>
        <w:tc>
          <w:tcPr>
            <w:tcW w:w="1350" w:type="pct"/>
            <w:hideMark/>
          </w:tcPr>
          <w:p w14:paraId="3CA4AD78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2,598,761,704.00</w:t>
            </w:r>
          </w:p>
        </w:tc>
      </w:tr>
      <w:tr w:rsidR="009E5599" w:rsidRPr="009E5599" w14:paraId="5AC7EABC" w14:textId="77777777" w:rsidTr="009E5599">
        <w:tc>
          <w:tcPr>
            <w:tcW w:w="900" w:type="pct"/>
            <w:hideMark/>
          </w:tcPr>
          <w:p w14:paraId="4D7AC3EB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3-2-5-2</w:t>
            </w:r>
          </w:p>
        </w:tc>
        <w:tc>
          <w:tcPr>
            <w:tcW w:w="2750" w:type="pct"/>
            <w:hideMark/>
          </w:tcPr>
          <w:p w14:paraId="79BAE5E2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EXCEDENTES FINANCIEROS</w:t>
            </w:r>
          </w:p>
        </w:tc>
        <w:tc>
          <w:tcPr>
            <w:tcW w:w="1350" w:type="pct"/>
            <w:hideMark/>
          </w:tcPr>
          <w:p w14:paraId="1212154D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732,627,755,528.00</w:t>
            </w:r>
          </w:p>
        </w:tc>
      </w:tr>
      <w:tr w:rsidR="009E5599" w:rsidRPr="009E5599" w14:paraId="36EB281A" w14:textId="77777777" w:rsidTr="009E5599">
        <w:tc>
          <w:tcPr>
            <w:tcW w:w="900" w:type="pct"/>
            <w:hideMark/>
          </w:tcPr>
          <w:p w14:paraId="42851E3D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3-5-0,0-1-2</w:t>
            </w:r>
          </w:p>
        </w:tc>
        <w:tc>
          <w:tcPr>
            <w:tcW w:w="2750" w:type="pct"/>
            <w:hideMark/>
          </w:tcPr>
          <w:p w14:paraId="07E5F23D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ICBF</w:t>
            </w:r>
          </w:p>
        </w:tc>
        <w:tc>
          <w:tcPr>
            <w:tcW w:w="1350" w:type="pct"/>
            <w:hideMark/>
          </w:tcPr>
          <w:p w14:paraId="1B8ACD1A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1,841,853,958,729.00</w:t>
            </w:r>
          </w:p>
        </w:tc>
      </w:tr>
      <w:tr w:rsidR="009E5599" w:rsidRPr="009E5599" w14:paraId="07EFC98B" w14:textId="77777777" w:rsidTr="009E5599">
        <w:tc>
          <w:tcPr>
            <w:tcW w:w="900" w:type="pct"/>
            <w:hideMark/>
          </w:tcPr>
          <w:p w14:paraId="766E361F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6-0-0-0</w:t>
            </w:r>
          </w:p>
        </w:tc>
        <w:tc>
          <w:tcPr>
            <w:tcW w:w="2750" w:type="pct"/>
            <w:hideMark/>
          </w:tcPr>
          <w:p w14:paraId="7D1F4ACE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350" w:type="pct"/>
            <w:hideMark/>
          </w:tcPr>
          <w:p w14:paraId="3485B14E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81,589,164,921.00</w:t>
            </w:r>
          </w:p>
        </w:tc>
      </w:tr>
      <w:tr w:rsidR="009E5599" w:rsidRPr="009E5599" w14:paraId="187CF848" w14:textId="77777777" w:rsidTr="009E5599">
        <w:tc>
          <w:tcPr>
            <w:tcW w:w="900" w:type="pct"/>
            <w:hideMark/>
          </w:tcPr>
          <w:p w14:paraId="1513828F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6-0-0-0</w:t>
            </w:r>
          </w:p>
        </w:tc>
        <w:tc>
          <w:tcPr>
            <w:tcW w:w="2750" w:type="pct"/>
            <w:hideMark/>
          </w:tcPr>
          <w:p w14:paraId="2884701B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FONDOS ESPECIALES</w:t>
            </w:r>
          </w:p>
        </w:tc>
        <w:tc>
          <w:tcPr>
            <w:tcW w:w="1350" w:type="pct"/>
            <w:hideMark/>
          </w:tcPr>
          <w:p w14:paraId="7BCD9292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447,393,514,352.00</w:t>
            </w:r>
          </w:p>
        </w:tc>
      </w:tr>
      <w:tr w:rsidR="009E5599" w:rsidRPr="009E5599" w14:paraId="3C5500CC" w14:textId="77777777" w:rsidTr="009E5599">
        <w:tc>
          <w:tcPr>
            <w:tcW w:w="900" w:type="pct"/>
            <w:hideMark/>
          </w:tcPr>
          <w:p w14:paraId="0D4DA4C5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6-0-0-0-69</w:t>
            </w:r>
          </w:p>
        </w:tc>
        <w:tc>
          <w:tcPr>
            <w:tcW w:w="2750" w:type="pct"/>
            <w:hideMark/>
          </w:tcPr>
          <w:p w14:paraId="76B6DF66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FONDO ESPECIAL IMPUESTO SOBRE LA RENTA PARA LA EQUIDAD - CREE</w:t>
            </w:r>
          </w:p>
        </w:tc>
        <w:tc>
          <w:tcPr>
            <w:tcW w:w="1350" w:type="pct"/>
            <w:hideMark/>
          </w:tcPr>
          <w:p w14:paraId="60A530FB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sz w:val="22"/>
                <w:szCs w:val="22"/>
              </w:rPr>
              <w:t>2,040,561,764,596.00</w:t>
            </w:r>
          </w:p>
        </w:tc>
      </w:tr>
      <w:tr w:rsidR="009E5599" w:rsidRPr="009E5599" w14:paraId="78D03477" w14:textId="77777777" w:rsidTr="009E5599">
        <w:tc>
          <w:tcPr>
            <w:tcW w:w="3650" w:type="pct"/>
            <w:gridSpan w:val="2"/>
            <w:hideMark/>
          </w:tcPr>
          <w:p w14:paraId="240C765E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9E5599">
              <w:rPr>
                <w:rFonts w:ascii="Verdana" w:hAnsi="Verdana"/>
                <w:b/>
                <w:bCs/>
                <w:sz w:val="22"/>
                <w:szCs w:val="22"/>
              </w:rPr>
              <w:t>Total</w:t>
            </w:r>
            <w:proofErr w:type="gramEnd"/>
            <w:r w:rsidRPr="009E5599">
              <w:rPr>
                <w:rFonts w:ascii="Verdana" w:hAnsi="Verdana"/>
                <w:b/>
                <w:bCs/>
                <w:sz w:val="22"/>
                <w:szCs w:val="22"/>
              </w:rPr>
              <w:t xml:space="preserve"> Presupuesto Ingresos</w:t>
            </w:r>
          </w:p>
        </w:tc>
        <w:tc>
          <w:tcPr>
            <w:tcW w:w="1350" w:type="pct"/>
            <w:hideMark/>
          </w:tcPr>
          <w:p w14:paraId="0D25A8FA" w14:textId="77777777" w:rsidR="009E5599" w:rsidRPr="009E5599" w:rsidRDefault="009E5599" w:rsidP="009E559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E5599">
              <w:rPr>
                <w:rFonts w:ascii="Verdana" w:hAnsi="Verdana"/>
                <w:b/>
                <w:bCs/>
                <w:sz w:val="22"/>
                <w:szCs w:val="22"/>
              </w:rPr>
              <w:t>5,233,581,602,408.00</w:t>
            </w:r>
          </w:p>
        </w:tc>
      </w:tr>
    </w:tbl>
    <w:p w14:paraId="23265DE7" w14:textId="77777777" w:rsidR="009E5599" w:rsidRDefault="009E5599" w:rsidP="00255FC7">
      <w:pPr>
        <w:rPr>
          <w:rFonts w:ascii="Verdana" w:hAnsi="Verdana"/>
          <w:sz w:val="22"/>
          <w:szCs w:val="22"/>
        </w:rPr>
      </w:pPr>
    </w:p>
    <w:p w14:paraId="69803865" w14:textId="64F842C5" w:rsidR="00255FC7" w:rsidRPr="00255FC7" w:rsidRDefault="00255FC7" w:rsidP="00255FC7">
      <w:pPr>
        <w:rPr>
          <w:rFonts w:ascii="Verdana" w:hAnsi="Verdana"/>
          <w:sz w:val="22"/>
          <w:szCs w:val="22"/>
        </w:rPr>
      </w:pPr>
      <w:r w:rsidRPr="009E5599">
        <w:rPr>
          <w:rFonts w:ascii="Verdana" w:hAnsi="Verdana"/>
          <w:b/>
          <w:bCs/>
          <w:sz w:val="22"/>
          <w:szCs w:val="22"/>
        </w:rPr>
        <w:t xml:space="preserve">ARTICULO </w:t>
      </w:r>
      <w:r w:rsidR="009E5599" w:rsidRPr="009E5599">
        <w:rPr>
          <w:rFonts w:ascii="Verdana" w:hAnsi="Verdana"/>
          <w:b/>
          <w:bCs/>
          <w:sz w:val="22"/>
          <w:szCs w:val="22"/>
        </w:rPr>
        <w:t>2o</w:t>
      </w:r>
      <w:r w:rsidRPr="009E5599">
        <w:rPr>
          <w:rFonts w:ascii="Verdana" w:hAnsi="Verdana"/>
          <w:b/>
          <w:bCs/>
          <w:sz w:val="22"/>
          <w:szCs w:val="22"/>
        </w:rPr>
        <w:t>.</w:t>
      </w:r>
      <w:r w:rsidRPr="00255FC7">
        <w:rPr>
          <w:rFonts w:ascii="Verdana" w:hAnsi="Verdana"/>
          <w:sz w:val="22"/>
          <w:szCs w:val="22"/>
        </w:rPr>
        <w:t xml:space="preserve"> ASIGNACIÓN DEL PRESUPUESTO DE GASTOS A UNIDADES EJECUTORAS. Asignar al Nivel Regional y Sede de la Dirección General del Instituto Colombiano de Bienestar Familiar el Presupuesto de Gastos para la vigencia 2016 por la suma de: CINCO BILLONES DOSCIENTOS TREINTA Y TRES MIL QUINIENTOS OCHENTA Y UN MILLONES SEISCIENTOS DOS MIL CUATROCIENTOS OCHO PESOS MCTE. ($5.233.581.602.408) de conformidad con el siguiente detalle.</w:t>
      </w:r>
    </w:p>
    <w:p w14:paraId="0FC9D613" w14:textId="78651DDD" w:rsidR="00255FC7" w:rsidRPr="00255FC7" w:rsidRDefault="00255FC7" w:rsidP="00255FC7">
      <w:pPr>
        <w:rPr>
          <w:rFonts w:ascii="Verdana" w:hAnsi="Verdana"/>
          <w:sz w:val="22"/>
          <w:szCs w:val="22"/>
        </w:rPr>
      </w:pPr>
      <w:r w:rsidRPr="00255FC7">
        <w:rPr>
          <w:rFonts w:ascii="Verdana" w:hAnsi="Verdana"/>
          <w:b/>
          <w:bCs/>
          <w:sz w:val="22"/>
          <w:szCs w:val="22"/>
        </w:rPr>
        <w:lastRenderedPageBreak/>
        <w:t>ARTICULO</w:t>
      </w:r>
      <w:r w:rsidRPr="00255FC7">
        <w:rPr>
          <w:rFonts w:ascii="Verdana" w:hAnsi="Verdana"/>
          <w:b/>
          <w:bCs/>
          <w:sz w:val="22"/>
          <w:szCs w:val="22"/>
        </w:rPr>
        <w:t xml:space="preserve"> 3o</w:t>
      </w:r>
      <w:r w:rsidRPr="00255FC7">
        <w:rPr>
          <w:rFonts w:ascii="Verdana" w:hAnsi="Verdana"/>
          <w:b/>
          <w:bCs/>
          <w:sz w:val="22"/>
          <w:szCs w:val="22"/>
        </w:rPr>
        <w:t>.</w:t>
      </w:r>
      <w:r w:rsidRPr="00255FC7">
        <w:rPr>
          <w:rFonts w:ascii="Verdana" w:hAnsi="Verdana"/>
          <w:sz w:val="22"/>
          <w:szCs w:val="22"/>
        </w:rPr>
        <w:t xml:space="preserve"> La presente Resolución rige a partir de la fecha de su expedición y surte efectos administrativos y fiscales a partir del 1 día del mes de </w:t>
      </w:r>
      <w:proofErr w:type="gramStart"/>
      <w:r w:rsidRPr="00255FC7">
        <w:rPr>
          <w:rFonts w:ascii="Verdana" w:hAnsi="Verdana"/>
          <w:sz w:val="22"/>
          <w:szCs w:val="22"/>
        </w:rPr>
        <w:t>Enero</w:t>
      </w:r>
      <w:proofErr w:type="gramEnd"/>
      <w:r w:rsidRPr="00255FC7">
        <w:rPr>
          <w:rFonts w:ascii="Verdana" w:hAnsi="Verdana"/>
          <w:sz w:val="22"/>
          <w:szCs w:val="22"/>
        </w:rPr>
        <w:t xml:space="preserve"> de 2016.</w:t>
      </w:r>
    </w:p>
    <w:p w14:paraId="53088580" w14:textId="5DB68076" w:rsidR="00255FC7" w:rsidRPr="00255FC7" w:rsidRDefault="00255FC7" w:rsidP="00255FC7">
      <w:pPr>
        <w:jc w:val="center"/>
        <w:rPr>
          <w:rFonts w:ascii="Verdana" w:hAnsi="Verdana"/>
          <w:b/>
          <w:bCs/>
          <w:sz w:val="22"/>
          <w:szCs w:val="22"/>
        </w:rPr>
      </w:pPr>
      <w:r w:rsidRPr="00255FC7">
        <w:rPr>
          <w:rFonts w:ascii="Verdana" w:hAnsi="Verdana"/>
          <w:b/>
          <w:bCs/>
          <w:sz w:val="22"/>
          <w:szCs w:val="22"/>
        </w:rPr>
        <w:t>COMUNIQUESE Y CUMPLASE</w:t>
      </w:r>
      <w:r w:rsidRPr="00255FC7">
        <w:rPr>
          <w:rFonts w:ascii="Verdana" w:hAnsi="Verdana"/>
          <w:b/>
          <w:bCs/>
          <w:sz w:val="22"/>
          <w:szCs w:val="22"/>
        </w:rPr>
        <w:t>,</w:t>
      </w:r>
    </w:p>
    <w:p w14:paraId="70F02C31" w14:textId="7F316DD1" w:rsidR="00255FC7" w:rsidRPr="00255FC7" w:rsidRDefault="00255FC7" w:rsidP="00255FC7">
      <w:pPr>
        <w:jc w:val="center"/>
        <w:rPr>
          <w:rFonts w:ascii="Verdana" w:hAnsi="Verdana"/>
          <w:sz w:val="22"/>
          <w:szCs w:val="22"/>
        </w:rPr>
      </w:pPr>
      <w:r w:rsidRPr="00255FC7">
        <w:rPr>
          <w:rFonts w:ascii="Verdana" w:hAnsi="Verdana"/>
          <w:sz w:val="22"/>
          <w:szCs w:val="22"/>
        </w:rPr>
        <w:t>Dado en Bogotá D.C a los 30 días del mes de diciembre de 2015</w:t>
      </w:r>
    </w:p>
    <w:p w14:paraId="47A95ADF" w14:textId="6059E276" w:rsidR="00255FC7" w:rsidRPr="00255FC7" w:rsidRDefault="00255FC7" w:rsidP="00255FC7">
      <w:pPr>
        <w:jc w:val="center"/>
        <w:rPr>
          <w:rFonts w:ascii="Verdana" w:hAnsi="Verdana"/>
          <w:b/>
          <w:bCs/>
          <w:sz w:val="22"/>
          <w:szCs w:val="22"/>
        </w:rPr>
      </w:pPr>
      <w:r w:rsidRPr="00255FC7">
        <w:rPr>
          <w:rFonts w:ascii="Verdana" w:hAnsi="Verdana"/>
          <w:b/>
          <w:bCs/>
          <w:sz w:val="22"/>
          <w:szCs w:val="22"/>
        </w:rPr>
        <w:t>CRISTINA PLAZAS MICHELSEN</w:t>
      </w:r>
    </w:p>
    <w:p w14:paraId="470FF7AD" w14:textId="1EA22281" w:rsidR="00255FC7" w:rsidRPr="00255FC7" w:rsidRDefault="00255FC7" w:rsidP="00255FC7">
      <w:pPr>
        <w:jc w:val="center"/>
        <w:rPr>
          <w:rFonts w:ascii="Verdana" w:hAnsi="Verdana"/>
          <w:sz w:val="22"/>
          <w:szCs w:val="22"/>
        </w:rPr>
      </w:pPr>
      <w:r w:rsidRPr="00255FC7">
        <w:rPr>
          <w:rFonts w:ascii="Verdana" w:hAnsi="Verdana"/>
          <w:sz w:val="22"/>
          <w:szCs w:val="22"/>
        </w:rPr>
        <w:t>DIRECTORA GENERAL</w:t>
      </w:r>
    </w:p>
    <w:p w14:paraId="12CDEC53" w14:textId="77777777" w:rsidR="0088588F" w:rsidRPr="00255FC7" w:rsidRDefault="0088588F" w:rsidP="00255FC7">
      <w:pPr>
        <w:rPr>
          <w:rFonts w:ascii="Verdana" w:hAnsi="Verdana"/>
          <w:sz w:val="22"/>
          <w:szCs w:val="22"/>
        </w:rPr>
      </w:pPr>
    </w:p>
    <w:sectPr w:rsidR="0088588F" w:rsidRPr="00255F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C0CFC"/>
    <w:multiLevelType w:val="hybridMultilevel"/>
    <w:tmpl w:val="9B5EED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8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F5"/>
    <w:rsid w:val="00015D2A"/>
    <w:rsid w:val="00255FC7"/>
    <w:rsid w:val="00392F16"/>
    <w:rsid w:val="00490B89"/>
    <w:rsid w:val="00550F5C"/>
    <w:rsid w:val="007D7C0F"/>
    <w:rsid w:val="0088588F"/>
    <w:rsid w:val="0099120D"/>
    <w:rsid w:val="009E5599"/>
    <w:rsid w:val="00AD348D"/>
    <w:rsid w:val="00EF0DF5"/>
    <w:rsid w:val="00F9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FE68"/>
  <w15:chartTrackingRefBased/>
  <w15:docId w15:val="{4D5AA814-318E-48FC-865F-A4390817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8D"/>
  </w:style>
  <w:style w:type="paragraph" w:styleId="Ttulo1">
    <w:name w:val="heading 1"/>
    <w:basedOn w:val="Normal"/>
    <w:next w:val="Normal"/>
    <w:link w:val="Ttulo1Car"/>
    <w:uiPriority w:val="9"/>
    <w:qFormat/>
    <w:rsid w:val="00EF0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D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D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D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D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D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D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D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D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D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D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D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D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D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D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0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0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D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D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0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D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0D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0D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D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0DF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E55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A3CAE-3BF7-41E4-ABDA-4EFC8DE125DD}"/>
</file>

<file path=customXml/itemProps2.xml><?xml version="1.0" encoding="utf-8"?>
<ds:datastoreItem xmlns:ds="http://schemas.openxmlformats.org/officeDocument/2006/customXml" ds:itemID="{FCC36292-FA40-42E2-A62F-DC5469E52B23}"/>
</file>

<file path=customXml/itemProps3.xml><?xml version="1.0" encoding="utf-8"?>
<ds:datastoreItem xmlns:ds="http://schemas.openxmlformats.org/officeDocument/2006/customXml" ds:itemID="{B334D8EE-87B3-4C59-8E3C-E548EC12B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7</cp:revision>
  <dcterms:created xsi:type="dcterms:W3CDTF">2026-02-11T16:34:00Z</dcterms:created>
  <dcterms:modified xsi:type="dcterms:W3CDTF">2026-02-11T16:39:00Z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