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C3834" w14:textId="471093E4" w:rsidR="006D5ECF" w:rsidRPr="00C8514C" w:rsidRDefault="00251F6B" w:rsidP="00251F6B">
      <w:pPr>
        <w:jc w:val="center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b/>
          <w:bCs/>
          <w:sz w:val="22"/>
          <w:szCs w:val="22"/>
        </w:rPr>
        <w:t xml:space="preserve">RESOLUCIÓN </w:t>
      </w:r>
      <w:r w:rsidR="00832115" w:rsidRPr="00C8514C">
        <w:rPr>
          <w:rFonts w:ascii="Verdana" w:hAnsi="Verdana"/>
          <w:b/>
          <w:bCs/>
          <w:sz w:val="22"/>
          <w:szCs w:val="22"/>
        </w:rPr>
        <w:t>011</w:t>
      </w:r>
      <w:r w:rsidR="00E96AE6" w:rsidRPr="00C8514C">
        <w:rPr>
          <w:rFonts w:ascii="Verdana" w:hAnsi="Verdana"/>
          <w:b/>
          <w:bCs/>
          <w:sz w:val="22"/>
          <w:szCs w:val="22"/>
        </w:rPr>
        <w:t xml:space="preserve"> </w:t>
      </w:r>
      <w:r w:rsidRPr="00C8514C">
        <w:rPr>
          <w:rFonts w:ascii="Verdana" w:hAnsi="Verdana"/>
          <w:b/>
          <w:bCs/>
          <w:sz w:val="22"/>
          <w:szCs w:val="22"/>
        </w:rPr>
        <w:t>DE 202</w:t>
      </w:r>
      <w:r w:rsidR="00832115" w:rsidRPr="00C8514C">
        <w:rPr>
          <w:rFonts w:ascii="Verdana" w:hAnsi="Verdana"/>
          <w:b/>
          <w:bCs/>
          <w:sz w:val="22"/>
          <w:szCs w:val="22"/>
        </w:rPr>
        <w:t>5</w:t>
      </w:r>
    </w:p>
    <w:p w14:paraId="7FAA1F65" w14:textId="6E90EFC2" w:rsidR="006D1939" w:rsidRPr="001B723D" w:rsidRDefault="006D1939" w:rsidP="006D1939">
      <w:pPr>
        <w:rPr>
          <w:rFonts w:ascii="Verdana" w:hAnsi="Verdana"/>
          <w:sz w:val="20"/>
          <w:szCs w:val="20"/>
        </w:rPr>
      </w:pPr>
      <w:r w:rsidRPr="001B723D">
        <w:rPr>
          <w:rFonts w:ascii="Verdana" w:hAnsi="Verdana"/>
          <w:sz w:val="20"/>
          <w:szCs w:val="20"/>
        </w:rPr>
        <w:t xml:space="preserve">Fecha de Expedición: </w:t>
      </w:r>
      <w:r w:rsidR="006853E6" w:rsidRPr="001B723D">
        <w:rPr>
          <w:rFonts w:ascii="Verdana" w:hAnsi="Verdana"/>
          <w:sz w:val="20"/>
          <w:szCs w:val="20"/>
        </w:rPr>
        <w:t xml:space="preserve">7 </w:t>
      </w:r>
      <w:r w:rsidR="00B54788" w:rsidRPr="001B723D">
        <w:rPr>
          <w:rFonts w:ascii="Verdana" w:hAnsi="Verdana"/>
          <w:sz w:val="20"/>
          <w:szCs w:val="20"/>
        </w:rPr>
        <w:t xml:space="preserve">de </w:t>
      </w:r>
      <w:r w:rsidR="006853E6" w:rsidRPr="001B723D">
        <w:rPr>
          <w:rFonts w:ascii="Verdana" w:hAnsi="Verdana"/>
          <w:sz w:val="20"/>
          <w:szCs w:val="20"/>
        </w:rPr>
        <w:t>en</w:t>
      </w:r>
      <w:r w:rsidR="00B54788" w:rsidRPr="001B723D">
        <w:rPr>
          <w:rFonts w:ascii="Verdana" w:hAnsi="Verdana"/>
          <w:sz w:val="20"/>
          <w:szCs w:val="20"/>
        </w:rPr>
        <w:t xml:space="preserve">ero </w:t>
      </w:r>
      <w:r w:rsidRPr="001B723D">
        <w:rPr>
          <w:rFonts w:ascii="Verdana" w:hAnsi="Verdana"/>
          <w:sz w:val="20"/>
          <w:szCs w:val="20"/>
        </w:rPr>
        <w:t>de 20</w:t>
      </w:r>
      <w:r w:rsidR="00D5214B" w:rsidRPr="001B723D">
        <w:rPr>
          <w:rFonts w:ascii="Verdana" w:hAnsi="Verdana"/>
          <w:sz w:val="20"/>
          <w:szCs w:val="20"/>
        </w:rPr>
        <w:t>2</w:t>
      </w:r>
      <w:r w:rsidR="006853E6" w:rsidRPr="001B723D">
        <w:rPr>
          <w:rFonts w:ascii="Verdana" w:hAnsi="Verdana"/>
          <w:sz w:val="20"/>
          <w:szCs w:val="20"/>
        </w:rPr>
        <w:t>5</w:t>
      </w:r>
    </w:p>
    <w:p w14:paraId="3C8362D2" w14:textId="4AD616C1" w:rsidR="006D1939" w:rsidRPr="001B723D" w:rsidRDefault="006D1939" w:rsidP="006D1939">
      <w:pPr>
        <w:rPr>
          <w:rFonts w:ascii="Verdana" w:hAnsi="Verdana"/>
          <w:sz w:val="20"/>
          <w:szCs w:val="20"/>
        </w:rPr>
      </w:pPr>
      <w:r w:rsidRPr="001B723D">
        <w:rPr>
          <w:rFonts w:ascii="Verdana" w:hAnsi="Verdana"/>
          <w:sz w:val="20"/>
          <w:szCs w:val="20"/>
        </w:rPr>
        <w:t xml:space="preserve">Fecha de entrada en vigencia: </w:t>
      </w:r>
      <w:r w:rsidR="006853E6" w:rsidRPr="001B723D">
        <w:rPr>
          <w:rFonts w:ascii="Verdana" w:hAnsi="Verdana"/>
          <w:sz w:val="20"/>
          <w:szCs w:val="20"/>
        </w:rPr>
        <w:t>7 de enero de 2025</w:t>
      </w:r>
    </w:p>
    <w:p w14:paraId="6BA6B76C" w14:textId="5B7281AB" w:rsidR="006D1939" w:rsidRPr="001B723D" w:rsidRDefault="61D8F93F" w:rsidP="159CB448">
      <w:pPr>
        <w:rPr>
          <w:sz w:val="20"/>
          <w:szCs w:val="20"/>
        </w:rPr>
      </w:pPr>
      <w:r w:rsidRPr="001B723D">
        <w:rPr>
          <w:rFonts w:ascii="Verdana" w:hAnsi="Verdana"/>
          <w:sz w:val="20"/>
          <w:szCs w:val="20"/>
        </w:rPr>
        <w:t xml:space="preserve">Estado de la vigencia: </w:t>
      </w:r>
      <w:r w:rsidR="005050C7">
        <w:rPr>
          <w:rFonts w:ascii="Verdana" w:hAnsi="Verdana"/>
          <w:sz w:val="20"/>
          <w:szCs w:val="20"/>
        </w:rPr>
        <w:t xml:space="preserve">No </w:t>
      </w:r>
      <w:r w:rsidR="006853E6" w:rsidRPr="001B723D">
        <w:rPr>
          <w:rFonts w:ascii="Verdana" w:hAnsi="Verdana"/>
          <w:sz w:val="20"/>
          <w:szCs w:val="20"/>
        </w:rPr>
        <w:t>Vigente</w:t>
      </w:r>
    </w:p>
    <w:p w14:paraId="5DF77975" w14:textId="77777777" w:rsidR="00B82553" w:rsidRPr="001B723D" w:rsidRDefault="00B82553" w:rsidP="006D1939">
      <w:pPr>
        <w:rPr>
          <w:rFonts w:ascii="Verdana" w:hAnsi="Verdana"/>
          <w:sz w:val="20"/>
          <w:szCs w:val="20"/>
        </w:rPr>
      </w:pPr>
    </w:p>
    <w:p w14:paraId="396C1C8B" w14:textId="3FFCBD50" w:rsidR="006D1939" w:rsidRPr="001B723D" w:rsidRDefault="006D1939" w:rsidP="006D1939">
      <w:pPr>
        <w:rPr>
          <w:rFonts w:ascii="Verdana" w:hAnsi="Verdana"/>
          <w:sz w:val="20"/>
          <w:szCs w:val="20"/>
        </w:rPr>
      </w:pPr>
      <w:r w:rsidRPr="001B723D">
        <w:rPr>
          <w:rFonts w:ascii="Verdana" w:hAnsi="Verdana"/>
          <w:sz w:val="20"/>
          <w:szCs w:val="20"/>
        </w:rPr>
        <w:t xml:space="preserve">Fecha de publicación en Diario Oficial: </w:t>
      </w:r>
      <w:r w:rsidR="004600F2" w:rsidRPr="001B723D">
        <w:rPr>
          <w:rFonts w:ascii="Verdana" w:hAnsi="Verdana"/>
          <w:sz w:val="20"/>
          <w:szCs w:val="20"/>
        </w:rPr>
        <w:t xml:space="preserve">N/A </w:t>
      </w:r>
    </w:p>
    <w:p w14:paraId="69659854" w14:textId="2E8C6296" w:rsidR="00FF6946" w:rsidRDefault="006D1939" w:rsidP="006D1939">
      <w:pPr>
        <w:rPr>
          <w:rFonts w:ascii="Verdana" w:hAnsi="Verdana"/>
          <w:sz w:val="20"/>
          <w:szCs w:val="20"/>
        </w:rPr>
      </w:pPr>
      <w:r w:rsidRPr="001B723D">
        <w:rPr>
          <w:rFonts w:ascii="Verdana" w:hAnsi="Verdana"/>
          <w:sz w:val="20"/>
          <w:szCs w:val="20"/>
        </w:rPr>
        <w:t xml:space="preserve">Número del Diario Oficial: </w:t>
      </w:r>
      <w:r w:rsidR="00251F6B" w:rsidRPr="001B723D">
        <w:rPr>
          <w:rFonts w:ascii="Verdana" w:hAnsi="Verdana"/>
          <w:sz w:val="20"/>
          <w:szCs w:val="20"/>
        </w:rPr>
        <w:t>N</w:t>
      </w:r>
      <w:r w:rsidR="004600F2" w:rsidRPr="001B723D">
        <w:rPr>
          <w:rFonts w:ascii="Verdana" w:hAnsi="Verdana"/>
          <w:sz w:val="20"/>
          <w:szCs w:val="20"/>
        </w:rPr>
        <w:t>/A</w:t>
      </w:r>
    </w:p>
    <w:p w14:paraId="4733FFC6" w14:textId="5385AFF4" w:rsidR="005050C7" w:rsidRPr="001B723D" w:rsidRDefault="005050C7" w:rsidP="006D193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Nota: </w:t>
      </w:r>
      <w:r w:rsidR="003A3C10">
        <w:rPr>
          <w:rFonts w:ascii="Verdana" w:hAnsi="Verdana"/>
          <w:sz w:val="20"/>
          <w:szCs w:val="20"/>
        </w:rPr>
        <w:t>De acuerdo con el artículo PRIMERO de la presente resolución</w:t>
      </w:r>
      <w:r w:rsidR="006A49FF">
        <w:rPr>
          <w:rFonts w:ascii="Verdana" w:hAnsi="Verdana"/>
          <w:sz w:val="20"/>
          <w:szCs w:val="20"/>
        </w:rPr>
        <w:t xml:space="preserve">, </w:t>
      </w:r>
      <w:r w:rsidR="00DD46A4">
        <w:rPr>
          <w:rFonts w:ascii="Verdana" w:hAnsi="Verdana"/>
          <w:sz w:val="20"/>
          <w:szCs w:val="20"/>
        </w:rPr>
        <w:t>rige hasta el 31 de diciembre de 2025</w:t>
      </w:r>
    </w:p>
    <w:p w14:paraId="3375684B" w14:textId="77777777" w:rsidR="006853E6" w:rsidRPr="00C8514C" w:rsidRDefault="006853E6" w:rsidP="006D1939">
      <w:pPr>
        <w:rPr>
          <w:rFonts w:ascii="Verdana" w:hAnsi="Verdana"/>
          <w:sz w:val="22"/>
          <w:szCs w:val="22"/>
        </w:rPr>
      </w:pPr>
    </w:p>
    <w:p w14:paraId="5E657EE0" w14:textId="41EFAB1C" w:rsidR="00DB3505" w:rsidRPr="00C8514C" w:rsidRDefault="00DB3505" w:rsidP="00251F6B">
      <w:pPr>
        <w:jc w:val="center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b/>
          <w:bCs/>
          <w:sz w:val="22"/>
          <w:szCs w:val="22"/>
        </w:rPr>
        <w:t xml:space="preserve">RESOLUCIÓN </w:t>
      </w:r>
      <w:r w:rsidR="00832115" w:rsidRPr="00C8514C">
        <w:rPr>
          <w:rFonts w:ascii="Verdana" w:hAnsi="Verdana"/>
          <w:b/>
          <w:bCs/>
          <w:sz w:val="22"/>
          <w:szCs w:val="22"/>
        </w:rPr>
        <w:t xml:space="preserve">011 </w:t>
      </w:r>
      <w:r w:rsidRPr="00C8514C">
        <w:rPr>
          <w:rFonts w:ascii="Verdana" w:hAnsi="Verdana"/>
          <w:b/>
          <w:bCs/>
          <w:sz w:val="22"/>
          <w:szCs w:val="22"/>
        </w:rPr>
        <w:t>DE 202</w:t>
      </w:r>
      <w:r w:rsidR="00832115" w:rsidRPr="00C8514C">
        <w:rPr>
          <w:rFonts w:ascii="Verdana" w:hAnsi="Verdana"/>
          <w:b/>
          <w:bCs/>
          <w:sz w:val="22"/>
          <w:szCs w:val="22"/>
        </w:rPr>
        <w:t>5</w:t>
      </w:r>
    </w:p>
    <w:p w14:paraId="76C13A6D" w14:textId="2A93B28F" w:rsidR="00DB3505" w:rsidRPr="00C8514C" w:rsidRDefault="00DB3505" w:rsidP="00251F6B">
      <w:pPr>
        <w:jc w:val="center"/>
        <w:rPr>
          <w:rFonts w:ascii="Verdana" w:hAnsi="Verdana"/>
          <w:b/>
          <w:bCs/>
          <w:sz w:val="22"/>
          <w:szCs w:val="22"/>
        </w:rPr>
      </w:pPr>
      <w:r w:rsidRPr="00C8514C">
        <w:rPr>
          <w:rFonts w:ascii="Verdana" w:hAnsi="Verdana"/>
          <w:b/>
          <w:bCs/>
          <w:sz w:val="22"/>
          <w:szCs w:val="22"/>
        </w:rPr>
        <w:t>(</w:t>
      </w:r>
      <w:r w:rsidR="0086545C" w:rsidRPr="00C8514C">
        <w:rPr>
          <w:rFonts w:ascii="Verdana" w:hAnsi="Verdana"/>
          <w:b/>
          <w:bCs/>
          <w:sz w:val="22"/>
          <w:szCs w:val="22"/>
        </w:rPr>
        <w:t>7 de enero</w:t>
      </w:r>
      <w:r w:rsidRPr="00C8514C">
        <w:rPr>
          <w:rFonts w:ascii="Verdana" w:hAnsi="Verdana"/>
          <w:b/>
          <w:bCs/>
          <w:sz w:val="22"/>
          <w:szCs w:val="22"/>
        </w:rPr>
        <w:t>)</w:t>
      </w:r>
    </w:p>
    <w:p w14:paraId="7BB7ACAE" w14:textId="77777777" w:rsidR="00DB3505" w:rsidRPr="00C8514C" w:rsidRDefault="00DB3505" w:rsidP="00251F6B">
      <w:pPr>
        <w:jc w:val="center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b/>
          <w:bCs/>
          <w:sz w:val="22"/>
          <w:szCs w:val="22"/>
        </w:rPr>
        <w:t>INSTITUTO COLOMBIANO DE BIENESTAR FAMILIAR CECILIA DE LA FUENTE DE LLERAS</w:t>
      </w:r>
    </w:p>
    <w:p w14:paraId="11BA21A4" w14:textId="77777777" w:rsidR="00B43465" w:rsidRPr="00C8514C" w:rsidRDefault="00B43465" w:rsidP="00B43465">
      <w:pPr>
        <w:pStyle w:val="Encabezado"/>
        <w:jc w:val="center"/>
        <w:rPr>
          <w:rFonts w:ascii="Verdana" w:hAnsi="Verdana"/>
          <w:i/>
          <w:color w:val="000000"/>
          <w:sz w:val="22"/>
          <w:szCs w:val="22"/>
        </w:rPr>
      </w:pPr>
      <w:r w:rsidRPr="00C8514C">
        <w:rPr>
          <w:rFonts w:ascii="Verdana" w:hAnsi="Verdana"/>
          <w:i/>
          <w:color w:val="000000"/>
          <w:sz w:val="22"/>
          <w:szCs w:val="22"/>
        </w:rPr>
        <w:t>“Por medio de la cual se autoriza el reconocimiento de horas extras y compensatorios para la vigencia fiscal 2025”</w:t>
      </w:r>
    </w:p>
    <w:p w14:paraId="72ECDB3C" w14:textId="416D1B39" w:rsidR="00530305" w:rsidRPr="00C8514C" w:rsidRDefault="00530305" w:rsidP="00251F6B">
      <w:pPr>
        <w:jc w:val="center"/>
        <w:rPr>
          <w:rFonts w:ascii="Verdana" w:hAnsi="Verdana"/>
          <w:sz w:val="22"/>
          <w:szCs w:val="22"/>
        </w:rPr>
      </w:pPr>
    </w:p>
    <w:p w14:paraId="2EF96BCC" w14:textId="77777777" w:rsidR="00C8514C" w:rsidRPr="00C8514C" w:rsidRDefault="00C8514C" w:rsidP="00C8514C">
      <w:pPr>
        <w:spacing w:after="0"/>
        <w:jc w:val="center"/>
        <w:rPr>
          <w:rFonts w:ascii="Verdana" w:hAnsi="Verdana"/>
          <w:b/>
          <w:sz w:val="22"/>
          <w:szCs w:val="22"/>
        </w:rPr>
      </w:pPr>
      <w:r w:rsidRPr="00C8514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D83B6" wp14:editId="2062B888">
                <wp:simplePos x="0" y="0"/>
                <wp:positionH relativeFrom="column">
                  <wp:posOffset>-688340</wp:posOffset>
                </wp:positionH>
                <wp:positionV relativeFrom="paragraph">
                  <wp:posOffset>-513715</wp:posOffset>
                </wp:positionV>
                <wp:extent cx="760095" cy="237490"/>
                <wp:effectExtent l="0" t="0" r="0" b="0"/>
                <wp:wrapNone/>
                <wp:docPr id="325328702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10FF61" w14:textId="77777777" w:rsidR="00C8514C" w:rsidRPr="00D43539" w:rsidRDefault="00C8514C" w:rsidP="00C8514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6D83B6" id="_x0000_t202" coordsize="21600,21600" o:spt="202" path="m,l,21600r21600,l21600,xe">
                <v:stroke joinstyle="miter"/>
                <v:path gradientshapeok="t" o:connecttype="rect"/>
              </v:shapetype>
              <v:shape id="Cuadro de texto 15" o:spid="_x0000_s1026" type="#_x0000_t202" style="position:absolute;left:0;text-align:left;margin-left:-54.2pt;margin-top:-40.45pt;width:59.85pt;height:1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" filled="f" stroked="f">
                <v:textbox>
                  <w:txbxContent>
                    <w:p w14:paraId="5E10FF61" w14:textId="77777777" w:rsidR="00C8514C" w:rsidRPr="00D43539" w:rsidRDefault="00C8514C" w:rsidP="00C8514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8514C">
        <w:rPr>
          <w:rFonts w:ascii="Verdana" w:hAnsi="Verdana"/>
          <w:b/>
          <w:sz w:val="22"/>
          <w:szCs w:val="22"/>
        </w:rPr>
        <w:t>LA DIRECTORA GENERAL DEL INSTITUTO COLOMBIANO DE BIENESTAR FAMILIAR – ICBF “CECILIA DE LA FUENTE DE LLERAS”</w:t>
      </w:r>
    </w:p>
    <w:p w14:paraId="31A94E65" w14:textId="77777777" w:rsidR="00C8514C" w:rsidRPr="00C8514C" w:rsidRDefault="00C8514C" w:rsidP="00C8514C">
      <w:pPr>
        <w:autoSpaceDE w:val="0"/>
        <w:autoSpaceDN w:val="0"/>
        <w:adjustRightInd w:val="0"/>
        <w:spacing w:after="0"/>
        <w:rPr>
          <w:rFonts w:ascii="Verdana" w:hAnsi="Verdana"/>
          <w:color w:val="000000"/>
          <w:sz w:val="22"/>
          <w:szCs w:val="22"/>
        </w:rPr>
      </w:pPr>
    </w:p>
    <w:p w14:paraId="47315800" w14:textId="77777777" w:rsidR="00C8514C" w:rsidRPr="00C8514C" w:rsidRDefault="00C8514C" w:rsidP="00C8514C">
      <w:pPr>
        <w:autoSpaceDE w:val="0"/>
        <w:autoSpaceDN w:val="0"/>
        <w:adjustRightInd w:val="0"/>
        <w:spacing w:after="0"/>
        <w:jc w:val="center"/>
        <w:rPr>
          <w:rFonts w:ascii="Verdana" w:hAnsi="Verdana"/>
          <w:color w:val="000000"/>
          <w:sz w:val="22"/>
          <w:szCs w:val="22"/>
        </w:rPr>
      </w:pPr>
      <w:r w:rsidRPr="00C8514C">
        <w:rPr>
          <w:rFonts w:ascii="Verdana" w:hAnsi="Verdana"/>
          <w:color w:val="000000"/>
          <w:sz w:val="22"/>
          <w:szCs w:val="22"/>
        </w:rPr>
        <w:t xml:space="preserve">En uso de sus facultades legales y estatutarias, en especial las conferidas por el artículo 78 de la Ley 489 de 1998, el artículo 28 de la Ley 7 de 1979 </w:t>
      </w:r>
      <w:r w:rsidRPr="00C8514C">
        <w:rPr>
          <w:rFonts w:ascii="Verdana" w:hAnsi="Verdana"/>
          <w:sz w:val="22"/>
          <w:szCs w:val="22"/>
        </w:rPr>
        <w:t>y,</w:t>
      </w:r>
    </w:p>
    <w:p w14:paraId="4B09D3A3" w14:textId="77777777" w:rsidR="00C8514C" w:rsidRPr="00C8514C" w:rsidRDefault="00C8514C" w:rsidP="00C8514C">
      <w:pPr>
        <w:autoSpaceDE w:val="0"/>
        <w:autoSpaceDN w:val="0"/>
        <w:adjustRightInd w:val="0"/>
        <w:spacing w:after="0"/>
        <w:jc w:val="center"/>
        <w:rPr>
          <w:rFonts w:ascii="Verdana" w:hAnsi="Verdana"/>
          <w:color w:val="000000"/>
          <w:sz w:val="22"/>
          <w:szCs w:val="22"/>
        </w:rPr>
      </w:pPr>
    </w:p>
    <w:p w14:paraId="5308F3AC" w14:textId="77777777" w:rsidR="00C8514C" w:rsidRPr="00C8514C" w:rsidRDefault="00C8514C" w:rsidP="00C8514C">
      <w:pPr>
        <w:autoSpaceDE w:val="0"/>
        <w:autoSpaceDN w:val="0"/>
        <w:adjustRightInd w:val="0"/>
        <w:spacing w:after="0"/>
        <w:jc w:val="center"/>
        <w:rPr>
          <w:rFonts w:ascii="Verdana" w:hAnsi="Verdana"/>
          <w:color w:val="000000"/>
          <w:sz w:val="22"/>
          <w:szCs w:val="22"/>
        </w:rPr>
      </w:pPr>
      <w:r w:rsidRPr="00C8514C">
        <w:rPr>
          <w:rFonts w:ascii="Verdana" w:hAnsi="Verdana"/>
          <w:b/>
          <w:color w:val="000000"/>
          <w:sz w:val="22"/>
          <w:szCs w:val="22"/>
        </w:rPr>
        <w:t>CONSIDERANDO</w:t>
      </w:r>
      <w:r w:rsidRPr="00C8514C">
        <w:rPr>
          <w:rFonts w:ascii="Verdana" w:hAnsi="Verdana"/>
          <w:color w:val="000000"/>
          <w:sz w:val="22"/>
          <w:szCs w:val="22"/>
        </w:rPr>
        <w:t>:</w:t>
      </w:r>
    </w:p>
    <w:p w14:paraId="1978F710" w14:textId="77777777" w:rsidR="00C8514C" w:rsidRPr="00C8514C" w:rsidRDefault="00C8514C" w:rsidP="00C8514C">
      <w:pPr>
        <w:autoSpaceDE w:val="0"/>
        <w:autoSpaceDN w:val="0"/>
        <w:adjustRightInd w:val="0"/>
        <w:spacing w:after="0"/>
        <w:rPr>
          <w:rFonts w:ascii="Verdana" w:hAnsi="Verdana"/>
          <w:color w:val="000000"/>
          <w:sz w:val="22"/>
          <w:szCs w:val="22"/>
        </w:rPr>
      </w:pPr>
    </w:p>
    <w:p w14:paraId="50AAD1AA" w14:textId="77777777" w:rsidR="00C8514C" w:rsidRPr="00C8514C" w:rsidRDefault="00C8514C" w:rsidP="00C8514C">
      <w:pPr>
        <w:autoSpaceDE w:val="0"/>
        <w:autoSpaceDN w:val="0"/>
        <w:adjustRightInd w:val="0"/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 xml:space="preserve">Que el artículo 209 de la Constitución Política preceptúa que la función administrativa está al servicio de los intereses generales y se desarrolla con fundamento en los principios de igualdad, moralidad, eficacia, economía, celeridad, imparcialidad y publicidad. </w:t>
      </w:r>
    </w:p>
    <w:p w14:paraId="443A5115" w14:textId="77777777" w:rsidR="00C8514C" w:rsidRPr="00C8514C" w:rsidRDefault="00C8514C" w:rsidP="00C8514C">
      <w:pPr>
        <w:autoSpaceDE w:val="0"/>
        <w:autoSpaceDN w:val="0"/>
        <w:adjustRightInd w:val="0"/>
        <w:spacing w:after="0"/>
        <w:rPr>
          <w:rFonts w:ascii="Verdana" w:hAnsi="Verdana"/>
          <w:sz w:val="22"/>
          <w:szCs w:val="22"/>
        </w:rPr>
      </w:pPr>
    </w:p>
    <w:p w14:paraId="0C4562CE" w14:textId="77777777" w:rsidR="00C8514C" w:rsidRPr="00C8514C" w:rsidRDefault="00C8514C" w:rsidP="00C8514C">
      <w:pPr>
        <w:autoSpaceDE w:val="0"/>
        <w:autoSpaceDN w:val="0"/>
        <w:adjustRightInd w:val="0"/>
        <w:spacing w:after="0"/>
        <w:rPr>
          <w:rFonts w:ascii="Verdana" w:hAnsi="Verdana"/>
          <w:color w:val="000000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>Que los artículos 35 y siguientes del Decreto 1042 de 1978 establecen la procedencia del pago de horas extras y trabajo ocasional en días dominicales y festivos, así como el reconocimiento, cuando a ello hubiere lugar, de descansos compensatorios cuando por razones especiales del servicio fuere necesario realizar trabajos en horas distintas de la jornada ordinaria de labor. En estos casos y con el cumplimiento de los requisitos, el jefe del organismo o las personas en quienes este hubiera delegado tal atribución, podrán autorizar el pago de horas extras o el reconocimiento de descanso compensatorio con sujeción a las normas legales.</w:t>
      </w:r>
    </w:p>
    <w:p w14:paraId="5CEC39F2" w14:textId="77777777" w:rsidR="00C8514C" w:rsidRPr="00C8514C" w:rsidRDefault="00C8514C" w:rsidP="00C8514C">
      <w:pPr>
        <w:spacing w:after="0"/>
        <w:rPr>
          <w:rFonts w:ascii="Verdana" w:hAnsi="Verdana"/>
          <w:b/>
          <w:sz w:val="22"/>
          <w:szCs w:val="22"/>
        </w:rPr>
      </w:pPr>
    </w:p>
    <w:p w14:paraId="6D77F332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lastRenderedPageBreak/>
        <w:t>Que el artículo 14 del Decreto 0301 de 2024 dispone que para que proceda el pago de horas extras y el trabajo ocasional en días dominicales y festivos, así como el reconocimiento, cuando a ello hubiere lugar, de los descansos compensatorios de los que trata el Decreto 1042 de 1978 y sus modificatorios, el empleado deberá pertenecer al Nivel Técnico hasta el grado 09 o al Nivel Asistencial hasta el grado 19. Esta norma también señala que la autorización para laborar en horas extras podrá otorgarse siempre que exista disponibilidad presupuestal para el efecto.</w:t>
      </w:r>
    </w:p>
    <w:p w14:paraId="2DB9AFCA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47999E24" w14:textId="77777777" w:rsidR="00C8514C" w:rsidRPr="00C8514C" w:rsidRDefault="00C8514C" w:rsidP="00C8514C">
      <w:pPr>
        <w:autoSpaceDE w:val="0"/>
        <w:autoSpaceDN w:val="0"/>
        <w:adjustRightInd w:val="0"/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>Que el Instituto Colombiano Bienestar Familiar -ICBF es un establecimiento público descentralizado, con personería jurídica, autonomía administrativa y patrimonio propio, creado mediante la Ley 75 de 1968 y su Decreto Reglamentario 2388 de 1979, adscrito al Ministerio de Igualdad y Equidad, mediante el Decreto 1074 de 2023, que tiene por objeto propender y fortalecer la integración y desarrollo armónico de la familia, proteger a los niños, niñas y adolescentes y garantizarles sus derechos.</w:t>
      </w:r>
    </w:p>
    <w:p w14:paraId="6B54A909" w14:textId="77777777" w:rsidR="00C8514C" w:rsidRPr="00C8514C" w:rsidRDefault="00C8514C" w:rsidP="00C8514C">
      <w:pPr>
        <w:spacing w:after="0"/>
        <w:rPr>
          <w:rFonts w:ascii="Verdana" w:hAnsi="Verdana"/>
          <w:b/>
          <w:sz w:val="22"/>
          <w:szCs w:val="22"/>
        </w:rPr>
      </w:pPr>
    </w:p>
    <w:p w14:paraId="29E5B5EF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>Que teniendo en cuenta las necesidades del servicio que se generan en la Sede de la Dirección General y en las Direcciones Regionales del ICBF, las cuales deben ser atendidas por los servidores públicos que pertenecen al Nivel Técnico hasta el grado 09 o al Nivel Asistencial hasta el grado 19, se requiere autorizar el reconocimiento y pago de horas extras a los mismos, dentro del marco previsto en el citado Decreto 1042 de 1978 y en el Decreto 0301 del 5 de marzo de 2024.</w:t>
      </w:r>
    </w:p>
    <w:p w14:paraId="6C814872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36C52737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447E2EBD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37D3E69F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>Que de conformidad con el numeral 23 del artículo 2 y el numeral 11 del artículo 3 de la Resolución 3800 del 21 de agosto de 2024, se delegó en el Director de Gestión Humana y en los Directores Regionales, la facultad para liquidar y ordenar el pago de horas extras, dominicales, festivos y tiempo compensatorio cuando proceda, u otorgar el respectivo descanso compensatorio para aquellos casos en que no proceda el pago, para los servidores públicos de la Sede de la Dirección General o Regional, respectivamente.</w:t>
      </w:r>
    </w:p>
    <w:p w14:paraId="5743330F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480AA35C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 xml:space="preserve">Que la Coordinadora del Grupo de Presupuesto de la Dirección Financiera del ICBF, en certificación del 3 de enero de 2025, precisó que: </w:t>
      </w:r>
    </w:p>
    <w:p w14:paraId="5B29E340" w14:textId="77777777" w:rsidR="00C8514C" w:rsidRPr="00C8514C" w:rsidRDefault="00C8514C" w:rsidP="00C8514C">
      <w:pPr>
        <w:spacing w:after="0"/>
        <w:rPr>
          <w:rFonts w:ascii="Verdana" w:hAnsi="Verdana"/>
          <w:i/>
          <w:sz w:val="22"/>
          <w:szCs w:val="22"/>
        </w:rPr>
      </w:pPr>
    </w:p>
    <w:p w14:paraId="70FFFE7D" w14:textId="77777777" w:rsidR="00C8514C" w:rsidRPr="00C8514C" w:rsidRDefault="00C8514C" w:rsidP="00C8514C">
      <w:pPr>
        <w:pStyle w:val="Textoindependiente"/>
        <w:ind w:left="426"/>
        <w:rPr>
          <w:rFonts w:ascii="Verdana" w:hAnsi="Verdana" w:cs="Arial"/>
          <w:i/>
          <w:iCs/>
          <w:snapToGrid w:val="0"/>
          <w:sz w:val="22"/>
          <w:szCs w:val="22"/>
        </w:rPr>
      </w:pPr>
      <w:r w:rsidRPr="00C8514C">
        <w:rPr>
          <w:rFonts w:ascii="Verdana" w:hAnsi="Verdana" w:cs="Arial"/>
          <w:i/>
          <w:iCs/>
          <w:snapToGrid w:val="0"/>
          <w:sz w:val="22"/>
          <w:szCs w:val="22"/>
        </w:rPr>
        <w:t xml:space="preserve">“(…) Que mediante decreto No. 1523 del 18 de diciembre de 2024, el Presidente de la República de Colombia decretó el presupuesto de rentas y recursos de capital y el presupuesto de gastos para la vigencia fiscal del 1º. de enero al 31 de diciembre de 2025, en el cual se incluye el presupuesto del ICBF. </w:t>
      </w:r>
    </w:p>
    <w:p w14:paraId="27D3055C" w14:textId="77777777" w:rsidR="00C8514C" w:rsidRPr="00C8514C" w:rsidRDefault="00C8514C" w:rsidP="00C8514C">
      <w:pPr>
        <w:pStyle w:val="Textoindependiente"/>
        <w:ind w:left="426"/>
        <w:rPr>
          <w:rFonts w:ascii="Verdana" w:hAnsi="Verdana" w:cs="Arial"/>
          <w:i/>
          <w:iCs/>
          <w:snapToGrid w:val="0"/>
          <w:sz w:val="22"/>
          <w:szCs w:val="22"/>
        </w:rPr>
      </w:pPr>
    </w:p>
    <w:p w14:paraId="65816F50" w14:textId="77777777" w:rsidR="00C8514C" w:rsidRPr="00C8514C" w:rsidRDefault="00C8514C" w:rsidP="00C8514C">
      <w:pPr>
        <w:pStyle w:val="Textoindependiente"/>
        <w:ind w:left="426"/>
        <w:rPr>
          <w:rFonts w:ascii="Verdana" w:hAnsi="Verdana" w:cs="Arial"/>
          <w:i/>
          <w:iCs/>
          <w:snapToGrid w:val="0"/>
          <w:sz w:val="22"/>
          <w:szCs w:val="22"/>
        </w:rPr>
      </w:pPr>
      <w:r w:rsidRPr="00C8514C">
        <w:rPr>
          <w:rFonts w:ascii="Verdana" w:hAnsi="Verdana" w:cs="Arial"/>
          <w:i/>
          <w:iCs/>
          <w:snapToGrid w:val="0"/>
          <w:sz w:val="22"/>
          <w:szCs w:val="22"/>
        </w:rPr>
        <w:t xml:space="preserve">Que a través del Decreto No. 1621 del 30 de diciembre de 2024, el Ministerio de Hacienda y Crédito Público liquidó el Presupuesto General de la Nación para la vigencia fiscal de 2025, se detallan las Apropiaciones y se clasifican y se definen los gastos, el cual incluye el presupuesto total para el ICBF vigencia fiscal del 2025, en el que se encuentra la Cuenta Gastos de Personal </w:t>
      </w:r>
      <w:r w:rsidRPr="00C8514C">
        <w:rPr>
          <w:rFonts w:ascii="Verdana" w:hAnsi="Verdana" w:cs="Arial"/>
          <w:i/>
          <w:iCs/>
          <w:snapToGrid w:val="0"/>
          <w:sz w:val="22"/>
          <w:szCs w:val="22"/>
        </w:rPr>
        <w:lastRenderedPageBreak/>
        <w:t xml:space="preserve">determinando una partida en el objeto del Gasto: Horas Extras, Dominicales, Festivos y Recargos, por valor de $4.349.659.983,00. </w:t>
      </w:r>
    </w:p>
    <w:p w14:paraId="3198488C" w14:textId="77777777" w:rsidR="00C8514C" w:rsidRPr="00C8514C" w:rsidRDefault="00C8514C" w:rsidP="00C8514C">
      <w:pPr>
        <w:pStyle w:val="Textoindependiente"/>
        <w:ind w:left="426"/>
        <w:rPr>
          <w:rFonts w:ascii="Verdana" w:hAnsi="Verdana" w:cs="Arial"/>
          <w:i/>
          <w:iCs/>
          <w:snapToGrid w:val="0"/>
          <w:sz w:val="22"/>
          <w:szCs w:val="22"/>
        </w:rPr>
      </w:pPr>
    </w:p>
    <w:p w14:paraId="3A23FFB2" w14:textId="77777777" w:rsidR="00C8514C" w:rsidRPr="00C8514C" w:rsidRDefault="00C8514C" w:rsidP="00C8514C">
      <w:pPr>
        <w:pStyle w:val="Textoindependiente"/>
        <w:ind w:left="426"/>
        <w:rPr>
          <w:rFonts w:ascii="Verdana" w:hAnsi="Verdana"/>
          <w:i/>
          <w:iCs/>
          <w:snapToGrid w:val="0"/>
          <w:sz w:val="22"/>
          <w:szCs w:val="22"/>
        </w:rPr>
      </w:pPr>
      <w:r w:rsidRPr="00C8514C">
        <w:rPr>
          <w:rFonts w:ascii="Verdana" w:hAnsi="Verdana" w:cs="Arial"/>
          <w:i/>
          <w:iCs/>
          <w:snapToGrid w:val="0"/>
          <w:sz w:val="22"/>
          <w:szCs w:val="22"/>
        </w:rPr>
        <w:t>Que mediante Resolución No. 6432 del 31 de diciembre de 2024, la Dirección General del ICBF desagregó y asignó el Presupuesto de Ingresos y Gastos a la Unidad Ejecutora del Nivel Nacional, Regionales y Sede de la Dirección General, para la vigencia fiscal de 2025, entre otros en el objeto del Gastos: Horas Extras, Dominicales, Festivos y Recargos, el valor de $4.349.659.983,00, por el rubro presupuestal A-01-01-01-001-008(…)”.</w:t>
      </w:r>
    </w:p>
    <w:p w14:paraId="12152B87" w14:textId="77777777" w:rsidR="00C8514C" w:rsidRPr="00C8514C" w:rsidRDefault="00C8514C" w:rsidP="00C8514C">
      <w:pPr>
        <w:pStyle w:val="Textoindependiente"/>
        <w:ind w:left="426"/>
        <w:rPr>
          <w:rFonts w:ascii="Verdana" w:hAnsi="Verdana" w:cs="Arial"/>
          <w:i/>
          <w:iCs/>
          <w:snapToGrid w:val="0"/>
          <w:sz w:val="22"/>
          <w:szCs w:val="22"/>
        </w:rPr>
      </w:pPr>
    </w:p>
    <w:p w14:paraId="5133A80B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>Que las horas extras que se generen conforme a la presente Resolución, se encuentran clasificadas en el rubro de “</w:t>
      </w:r>
      <w:r w:rsidRPr="00C8514C">
        <w:rPr>
          <w:rFonts w:ascii="Verdana" w:hAnsi="Verdana"/>
          <w:i/>
          <w:iCs/>
          <w:sz w:val="22"/>
          <w:szCs w:val="22"/>
        </w:rPr>
        <w:t>Horas Extras, Dominicales, Festivos y Recargos</w:t>
      </w:r>
      <w:r w:rsidRPr="00C8514C">
        <w:rPr>
          <w:rFonts w:ascii="Verdana" w:hAnsi="Verdana"/>
          <w:sz w:val="22"/>
          <w:szCs w:val="22"/>
        </w:rPr>
        <w:t>”, identificador presupuestal A-01-01-01-001-008 del presupuesto asignado a la Sede de la Dirección General para la vigencia fiscal 2024, con cargo al Certificado de Disponibilidad Presupuestal No. 4624 del 3 de enero de 2025.</w:t>
      </w:r>
    </w:p>
    <w:p w14:paraId="45C28B35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53634898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>Que, por lo anterior, se hace necesario definir los topes de horas extras que serán reconocidas y pagadas por el ICBF en la vigencia 2025.</w:t>
      </w:r>
    </w:p>
    <w:p w14:paraId="22E4CEFB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3EE52BE8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>En mérito de lo expuesto,</w:t>
      </w:r>
    </w:p>
    <w:p w14:paraId="78D22A03" w14:textId="77777777" w:rsidR="00C8514C" w:rsidRPr="00C8514C" w:rsidRDefault="00C8514C" w:rsidP="00C8514C">
      <w:pPr>
        <w:spacing w:after="0"/>
        <w:rPr>
          <w:rFonts w:ascii="Verdana" w:hAnsi="Verdana"/>
          <w:b/>
          <w:sz w:val="22"/>
          <w:szCs w:val="22"/>
        </w:rPr>
      </w:pPr>
    </w:p>
    <w:p w14:paraId="31A2A0EA" w14:textId="77777777" w:rsidR="00C8514C" w:rsidRPr="00C8514C" w:rsidRDefault="00C8514C" w:rsidP="00C8514C">
      <w:pPr>
        <w:spacing w:after="0"/>
        <w:jc w:val="center"/>
        <w:rPr>
          <w:rFonts w:ascii="Verdana" w:hAnsi="Verdana"/>
          <w:b/>
          <w:sz w:val="22"/>
          <w:szCs w:val="22"/>
        </w:rPr>
      </w:pPr>
      <w:r w:rsidRPr="00C8514C">
        <w:rPr>
          <w:rFonts w:ascii="Verdana" w:hAnsi="Verdana"/>
          <w:b/>
          <w:sz w:val="22"/>
          <w:szCs w:val="22"/>
        </w:rPr>
        <w:t>RESUELVE:</w:t>
      </w:r>
    </w:p>
    <w:p w14:paraId="4703F32B" w14:textId="77777777" w:rsidR="00C8514C" w:rsidRPr="00C8514C" w:rsidRDefault="00C8514C" w:rsidP="00C8514C">
      <w:pPr>
        <w:spacing w:after="0"/>
        <w:rPr>
          <w:rFonts w:ascii="Verdana" w:hAnsi="Verdana"/>
          <w:b/>
          <w:sz w:val="22"/>
          <w:szCs w:val="22"/>
        </w:rPr>
      </w:pPr>
    </w:p>
    <w:p w14:paraId="7D94A15E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b/>
          <w:sz w:val="22"/>
          <w:szCs w:val="22"/>
        </w:rPr>
        <w:t>ARTÍCULO PRIMERO</w:t>
      </w:r>
      <w:r w:rsidRPr="00C8514C">
        <w:rPr>
          <w:rFonts w:ascii="Verdana" w:hAnsi="Verdana"/>
          <w:sz w:val="22"/>
          <w:szCs w:val="22"/>
        </w:rPr>
        <w:t xml:space="preserve">: Autorizar a partir de la fecha de expedición de la presente Resolución y </w:t>
      </w:r>
      <w:r w:rsidRPr="00C8514C">
        <w:rPr>
          <w:rFonts w:ascii="Verdana" w:hAnsi="Verdana"/>
          <w:b/>
          <w:sz w:val="22"/>
          <w:szCs w:val="22"/>
        </w:rPr>
        <w:t>hasta el 31 de diciembre de 2025</w:t>
      </w:r>
      <w:r w:rsidRPr="00C8514C">
        <w:rPr>
          <w:rFonts w:ascii="Verdana" w:hAnsi="Verdana"/>
          <w:sz w:val="22"/>
          <w:szCs w:val="22"/>
        </w:rPr>
        <w:t xml:space="preserve">, el reconocimiento y pago de horas extras, dominicales, festivos y recargos a los servidores públicos que desempeñen los siguientes cargos: </w:t>
      </w:r>
    </w:p>
    <w:p w14:paraId="49FF90CE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6C62F9D6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2C178021" w14:textId="77777777" w:rsidR="00C8514C" w:rsidRPr="00C8514C" w:rsidRDefault="00C8514C" w:rsidP="00C8514C">
      <w:pPr>
        <w:numPr>
          <w:ilvl w:val="0"/>
          <w:numId w:val="11"/>
        </w:numPr>
        <w:spacing w:after="0"/>
        <w:ind w:left="426" w:firstLine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 xml:space="preserve">Quienes desempeñen funciones de </w:t>
      </w:r>
      <w:r w:rsidRPr="00C8514C">
        <w:rPr>
          <w:rFonts w:ascii="Verdana" w:hAnsi="Verdana"/>
          <w:b/>
          <w:sz w:val="22"/>
          <w:szCs w:val="22"/>
        </w:rPr>
        <w:t>Conductor Mecánico</w:t>
      </w:r>
      <w:r w:rsidRPr="00C8514C">
        <w:rPr>
          <w:rFonts w:ascii="Verdana" w:hAnsi="Verdana"/>
          <w:sz w:val="22"/>
          <w:szCs w:val="22"/>
        </w:rPr>
        <w:t>, en la Sede de la Dirección General y en las Direcciones Regionales hasta un tope máximo de cien (100) horas al mes.</w:t>
      </w:r>
    </w:p>
    <w:p w14:paraId="1C9B2F5B" w14:textId="77777777" w:rsidR="00C8514C" w:rsidRPr="00C8514C" w:rsidRDefault="00C8514C" w:rsidP="00C8514C">
      <w:pPr>
        <w:spacing w:after="0"/>
        <w:ind w:left="426"/>
        <w:rPr>
          <w:rFonts w:ascii="Verdana" w:hAnsi="Verdana"/>
          <w:sz w:val="22"/>
          <w:szCs w:val="22"/>
        </w:rPr>
      </w:pPr>
    </w:p>
    <w:p w14:paraId="087486D6" w14:textId="77777777" w:rsidR="00C8514C" w:rsidRPr="00C8514C" w:rsidRDefault="00C8514C" w:rsidP="00C8514C">
      <w:pPr>
        <w:numPr>
          <w:ilvl w:val="0"/>
          <w:numId w:val="11"/>
        </w:numPr>
        <w:spacing w:after="0"/>
        <w:ind w:left="426" w:firstLine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 xml:space="preserve">Quienes pertenezcan al nivel </w:t>
      </w:r>
      <w:r w:rsidRPr="00C8514C">
        <w:rPr>
          <w:rFonts w:ascii="Verdana" w:hAnsi="Verdana"/>
          <w:b/>
          <w:sz w:val="22"/>
          <w:szCs w:val="22"/>
        </w:rPr>
        <w:t>Técnico</w:t>
      </w:r>
      <w:r w:rsidRPr="00C8514C">
        <w:rPr>
          <w:rFonts w:ascii="Verdana" w:hAnsi="Verdana"/>
          <w:sz w:val="22"/>
          <w:szCs w:val="22"/>
        </w:rPr>
        <w:t xml:space="preserve"> </w:t>
      </w:r>
      <w:r w:rsidRPr="00C8514C">
        <w:rPr>
          <w:rFonts w:ascii="Verdana" w:hAnsi="Verdana"/>
          <w:b/>
          <w:sz w:val="22"/>
          <w:szCs w:val="22"/>
        </w:rPr>
        <w:t>hasta el Grado 09</w:t>
      </w:r>
      <w:r w:rsidRPr="00C8514C">
        <w:rPr>
          <w:rFonts w:ascii="Verdana" w:hAnsi="Verdana"/>
          <w:sz w:val="22"/>
          <w:szCs w:val="22"/>
        </w:rPr>
        <w:t xml:space="preserve"> y al nivel </w:t>
      </w:r>
      <w:r w:rsidRPr="00C8514C">
        <w:rPr>
          <w:rFonts w:ascii="Verdana" w:hAnsi="Verdana"/>
          <w:b/>
          <w:sz w:val="22"/>
          <w:szCs w:val="22"/>
        </w:rPr>
        <w:t>Asistencial</w:t>
      </w:r>
      <w:r w:rsidRPr="00C8514C">
        <w:rPr>
          <w:rFonts w:ascii="Verdana" w:hAnsi="Verdana"/>
          <w:sz w:val="22"/>
          <w:szCs w:val="22"/>
        </w:rPr>
        <w:t xml:space="preserve"> </w:t>
      </w:r>
      <w:r w:rsidRPr="00C8514C">
        <w:rPr>
          <w:rFonts w:ascii="Verdana" w:hAnsi="Verdana"/>
          <w:b/>
          <w:sz w:val="22"/>
          <w:szCs w:val="22"/>
        </w:rPr>
        <w:t>hasta el Grado 19</w:t>
      </w:r>
      <w:r w:rsidRPr="00C8514C">
        <w:rPr>
          <w:rFonts w:ascii="Verdana" w:hAnsi="Verdana"/>
          <w:sz w:val="22"/>
          <w:szCs w:val="22"/>
        </w:rPr>
        <w:t>, hasta un tope máximo de cincuenta (50) horas al mes.</w:t>
      </w:r>
    </w:p>
    <w:p w14:paraId="79656BDF" w14:textId="77777777" w:rsidR="00C8514C" w:rsidRPr="00C8514C" w:rsidRDefault="00C8514C" w:rsidP="00C8514C">
      <w:pPr>
        <w:spacing w:after="0"/>
        <w:rPr>
          <w:rFonts w:ascii="Verdana" w:hAnsi="Verdana"/>
          <w:b/>
          <w:sz w:val="22"/>
          <w:szCs w:val="22"/>
        </w:rPr>
      </w:pPr>
    </w:p>
    <w:p w14:paraId="42E849B1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b/>
          <w:sz w:val="22"/>
          <w:szCs w:val="22"/>
        </w:rPr>
        <w:t xml:space="preserve">ARTÍCULO SEGUNDO: </w:t>
      </w:r>
      <w:r w:rsidRPr="00C8514C">
        <w:rPr>
          <w:rFonts w:ascii="Verdana" w:hAnsi="Verdana"/>
          <w:sz w:val="22"/>
          <w:szCs w:val="22"/>
        </w:rPr>
        <w:t>Ordenar la compensación en tiempo de las horas extras que superen los topes establecidos en el artículo anterior.</w:t>
      </w:r>
    </w:p>
    <w:p w14:paraId="645FD28E" w14:textId="77777777" w:rsidR="00C8514C" w:rsidRPr="00C8514C" w:rsidRDefault="00C8514C" w:rsidP="00C8514C">
      <w:pPr>
        <w:spacing w:after="0"/>
        <w:rPr>
          <w:rFonts w:ascii="Verdana" w:hAnsi="Verdana"/>
          <w:b/>
          <w:sz w:val="22"/>
          <w:szCs w:val="22"/>
        </w:rPr>
      </w:pPr>
    </w:p>
    <w:p w14:paraId="4B1D87D3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b/>
          <w:sz w:val="22"/>
          <w:szCs w:val="22"/>
        </w:rPr>
        <w:t>ARTÍCULO TERCERO:</w:t>
      </w:r>
      <w:r w:rsidRPr="00C8514C">
        <w:rPr>
          <w:rFonts w:ascii="Verdana" w:hAnsi="Verdana"/>
          <w:sz w:val="22"/>
          <w:szCs w:val="22"/>
        </w:rPr>
        <w:t xml:space="preserve"> La concesión de las horas extras, dominicales, festivos y recargos de que trata el artículo primero del presente acto administrativo, deberá ser solicitada previamente y por escrito, por el jefe inmediato del servidor público a la Dirección de Gestión Humana de la Sede de la Dirección General, o el Grupo Administrativo, Grupo de Gestión Humana o Grupos de Gestión de Soportes de las Direcciones Regionales, según el caso, únicamente cuando por razones especiales del servicio se requiera labor en horas distintas a la jornada ordinaria y exista disponibilidad presupuestal para el efecto.</w:t>
      </w:r>
    </w:p>
    <w:p w14:paraId="46F07541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11CF2305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b/>
          <w:sz w:val="22"/>
          <w:szCs w:val="22"/>
        </w:rPr>
        <w:t>ARTÍCULO CUARTO</w:t>
      </w:r>
      <w:r w:rsidRPr="00C8514C">
        <w:rPr>
          <w:rFonts w:ascii="Verdana" w:hAnsi="Verdana"/>
          <w:sz w:val="22"/>
          <w:szCs w:val="22"/>
        </w:rPr>
        <w:t>: Los gastos que se ocasionen con ocasión de lo dispuesto en la presente Resolución, se harán con cargo al rubro de “Horas Extras, Dominicales, Festivos y Recargos”, indicador presupuestal A-01-01-01-001-008 del presupuesto asignado a la Sede de la Dirección General de la Vigencia Fiscal de 2025, con cargo al Certificado de Disponibilidad Presupuestal No</w:t>
      </w:r>
      <w:r w:rsidRPr="00380BA7">
        <w:rPr>
          <w:rFonts w:ascii="Verdana" w:hAnsi="Verdana"/>
          <w:sz w:val="22"/>
          <w:szCs w:val="22"/>
        </w:rPr>
        <w:t>. 4624 del 3</w:t>
      </w:r>
      <w:r w:rsidRPr="00C8514C">
        <w:rPr>
          <w:rFonts w:ascii="Verdana" w:hAnsi="Verdana"/>
          <w:sz w:val="22"/>
          <w:szCs w:val="22"/>
        </w:rPr>
        <w:t xml:space="preserve"> de enero de 2025, conforme a lo señalado en la parte motiva.</w:t>
      </w:r>
    </w:p>
    <w:p w14:paraId="527F3994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</w:p>
    <w:p w14:paraId="75D0B688" w14:textId="77777777" w:rsidR="00C8514C" w:rsidRPr="00C8514C" w:rsidRDefault="00C8514C" w:rsidP="00C8514C">
      <w:pPr>
        <w:spacing w:after="0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b/>
          <w:sz w:val="22"/>
          <w:szCs w:val="22"/>
        </w:rPr>
        <w:t>ARTÍCULO QUINTO:</w:t>
      </w:r>
      <w:r w:rsidRPr="00C8514C">
        <w:rPr>
          <w:rFonts w:ascii="Verdana" w:hAnsi="Verdana"/>
          <w:sz w:val="22"/>
          <w:szCs w:val="22"/>
        </w:rPr>
        <w:t xml:space="preserve"> La presente Resolución rige a partir de la fecha de su expedición.</w:t>
      </w:r>
    </w:p>
    <w:p w14:paraId="62F78274" w14:textId="77777777" w:rsidR="00C8514C" w:rsidRPr="00C8514C" w:rsidRDefault="00C8514C" w:rsidP="00C8514C">
      <w:pPr>
        <w:spacing w:after="0"/>
        <w:jc w:val="center"/>
        <w:rPr>
          <w:rFonts w:ascii="Verdana" w:hAnsi="Verdana"/>
          <w:b/>
          <w:sz w:val="22"/>
          <w:szCs w:val="22"/>
        </w:rPr>
      </w:pPr>
    </w:p>
    <w:p w14:paraId="4C549081" w14:textId="77777777" w:rsidR="00C8514C" w:rsidRPr="00C8514C" w:rsidRDefault="00C8514C" w:rsidP="00C8514C">
      <w:pPr>
        <w:spacing w:after="0"/>
        <w:jc w:val="center"/>
        <w:rPr>
          <w:rFonts w:ascii="Verdana" w:hAnsi="Verdana"/>
          <w:b/>
          <w:sz w:val="22"/>
          <w:szCs w:val="22"/>
        </w:rPr>
      </w:pPr>
      <w:r w:rsidRPr="00C8514C">
        <w:rPr>
          <w:rFonts w:ascii="Verdana" w:hAnsi="Verdana"/>
          <w:b/>
          <w:sz w:val="22"/>
          <w:szCs w:val="22"/>
        </w:rPr>
        <w:t>COMUNÍQUESE Y CÚMPLASE</w:t>
      </w:r>
    </w:p>
    <w:p w14:paraId="63388212" w14:textId="77777777" w:rsidR="00C8514C" w:rsidRPr="00C8514C" w:rsidRDefault="00C8514C" w:rsidP="00C8514C">
      <w:pPr>
        <w:spacing w:after="0"/>
        <w:jc w:val="center"/>
        <w:rPr>
          <w:rFonts w:ascii="Verdana" w:hAnsi="Verdana"/>
          <w:sz w:val="22"/>
          <w:szCs w:val="22"/>
        </w:rPr>
      </w:pPr>
      <w:r w:rsidRPr="00C8514C">
        <w:rPr>
          <w:rFonts w:ascii="Verdana" w:hAnsi="Verdana"/>
          <w:sz w:val="22"/>
          <w:szCs w:val="22"/>
        </w:rPr>
        <w:t>Dada en Bogotá, D.C., a los</w:t>
      </w:r>
    </w:p>
    <w:p w14:paraId="09E2EB3F" w14:textId="77777777" w:rsidR="00C8514C" w:rsidRPr="00C8514C" w:rsidRDefault="00C8514C" w:rsidP="00C8514C">
      <w:pPr>
        <w:spacing w:after="0"/>
        <w:jc w:val="center"/>
        <w:rPr>
          <w:rFonts w:ascii="Verdana" w:hAnsi="Verdana"/>
          <w:b/>
          <w:bCs/>
          <w:sz w:val="22"/>
          <w:szCs w:val="22"/>
        </w:rPr>
      </w:pPr>
    </w:p>
    <w:p w14:paraId="61678948" w14:textId="77777777" w:rsidR="00C8514C" w:rsidRPr="00C8514C" w:rsidRDefault="00C8514C" w:rsidP="00C8514C">
      <w:pPr>
        <w:spacing w:after="0"/>
        <w:jc w:val="center"/>
        <w:rPr>
          <w:rFonts w:ascii="Verdana" w:hAnsi="Verdana"/>
          <w:b/>
          <w:bCs/>
          <w:sz w:val="22"/>
          <w:szCs w:val="22"/>
        </w:rPr>
      </w:pPr>
    </w:p>
    <w:p w14:paraId="5C0A6E3D" w14:textId="77777777" w:rsidR="00C8514C" w:rsidRPr="00C8514C" w:rsidRDefault="00C8514C" w:rsidP="00C8514C">
      <w:pPr>
        <w:spacing w:after="0"/>
        <w:jc w:val="center"/>
        <w:rPr>
          <w:rFonts w:ascii="Verdana" w:hAnsi="Verdana"/>
          <w:b/>
          <w:bCs/>
          <w:sz w:val="22"/>
          <w:szCs w:val="22"/>
        </w:rPr>
      </w:pPr>
    </w:p>
    <w:p w14:paraId="17340742" w14:textId="77777777" w:rsidR="00C8514C" w:rsidRPr="00C8514C" w:rsidRDefault="00C8514C" w:rsidP="00C8514C">
      <w:pPr>
        <w:spacing w:after="0"/>
        <w:jc w:val="center"/>
        <w:rPr>
          <w:rFonts w:ascii="Verdana" w:hAnsi="Verdana"/>
          <w:b/>
          <w:bCs/>
          <w:sz w:val="22"/>
          <w:szCs w:val="22"/>
        </w:rPr>
      </w:pPr>
    </w:p>
    <w:p w14:paraId="4207346F" w14:textId="77777777" w:rsidR="00C8514C" w:rsidRPr="00C8514C" w:rsidRDefault="00C8514C" w:rsidP="00C8514C">
      <w:pPr>
        <w:tabs>
          <w:tab w:val="left" w:pos="1311"/>
          <w:tab w:val="center" w:pos="5044"/>
        </w:tabs>
        <w:spacing w:after="0"/>
        <w:jc w:val="center"/>
        <w:rPr>
          <w:b/>
          <w:sz w:val="22"/>
          <w:szCs w:val="22"/>
        </w:rPr>
      </w:pPr>
      <w:r w:rsidRPr="00C8514C">
        <w:rPr>
          <w:b/>
          <w:sz w:val="22"/>
          <w:szCs w:val="22"/>
        </w:rPr>
        <w:t>ASTRID ELIANA CACERES CARDENAS</w:t>
      </w:r>
    </w:p>
    <w:p w14:paraId="72C628F7" w14:textId="29736EC7" w:rsidR="00B43465" w:rsidRPr="00C8514C" w:rsidRDefault="00C8514C" w:rsidP="00C8514C">
      <w:pPr>
        <w:jc w:val="center"/>
        <w:rPr>
          <w:rFonts w:ascii="Verdana" w:hAnsi="Verdana"/>
          <w:sz w:val="22"/>
          <w:szCs w:val="22"/>
        </w:rPr>
      </w:pPr>
      <w:r w:rsidRPr="00C8514C">
        <w:rPr>
          <w:sz w:val="22"/>
          <w:szCs w:val="22"/>
        </w:rPr>
        <w:t>Directora General</w:t>
      </w:r>
    </w:p>
    <w:sectPr w:rsidR="00B43465" w:rsidRPr="00C851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A8924" w14:textId="77777777" w:rsidR="00CA62DD" w:rsidRDefault="00CA62DD" w:rsidP="00251F6B">
      <w:pPr>
        <w:spacing w:after="0"/>
      </w:pPr>
      <w:r>
        <w:separator/>
      </w:r>
    </w:p>
  </w:endnote>
  <w:endnote w:type="continuationSeparator" w:id="0">
    <w:p w14:paraId="0BC5A8C9" w14:textId="77777777" w:rsidR="00CA62DD" w:rsidRDefault="00CA62DD" w:rsidP="00251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D80E9" w14:textId="77777777" w:rsidR="00CA62DD" w:rsidRDefault="00CA62DD" w:rsidP="00251F6B">
      <w:pPr>
        <w:spacing w:after="0"/>
      </w:pPr>
      <w:r>
        <w:separator/>
      </w:r>
    </w:p>
  </w:footnote>
  <w:footnote w:type="continuationSeparator" w:id="0">
    <w:p w14:paraId="023FDD74" w14:textId="77777777" w:rsidR="00CA62DD" w:rsidRDefault="00CA62DD" w:rsidP="00251F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3AC1"/>
    <w:multiLevelType w:val="hybridMultilevel"/>
    <w:tmpl w:val="70143C96"/>
    <w:lvl w:ilvl="0" w:tplc="240A000F">
      <w:start w:val="1"/>
      <w:numFmt w:val="decimal"/>
      <w:lvlText w:val="%1."/>
      <w:lvlJc w:val="left"/>
      <w:pPr>
        <w:ind w:left="643" w:hanging="360"/>
      </w:pPr>
    </w:lvl>
    <w:lvl w:ilvl="1" w:tplc="240A0019">
      <w:start w:val="1"/>
      <w:numFmt w:val="lowerLetter"/>
      <w:lvlText w:val="%2."/>
      <w:lvlJc w:val="left"/>
      <w:pPr>
        <w:ind w:left="1363" w:hanging="360"/>
      </w:pPr>
    </w:lvl>
    <w:lvl w:ilvl="2" w:tplc="240A001B" w:tentative="1">
      <w:start w:val="1"/>
      <w:numFmt w:val="lowerRoman"/>
      <w:lvlText w:val="%3."/>
      <w:lvlJc w:val="right"/>
      <w:pPr>
        <w:ind w:left="2083" w:hanging="180"/>
      </w:pPr>
    </w:lvl>
    <w:lvl w:ilvl="3" w:tplc="240A000F" w:tentative="1">
      <w:start w:val="1"/>
      <w:numFmt w:val="decimal"/>
      <w:lvlText w:val="%4."/>
      <w:lvlJc w:val="left"/>
      <w:pPr>
        <w:ind w:left="2803" w:hanging="360"/>
      </w:pPr>
    </w:lvl>
    <w:lvl w:ilvl="4" w:tplc="240A0019" w:tentative="1">
      <w:start w:val="1"/>
      <w:numFmt w:val="lowerLetter"/>
      <w:lvlText w:val="%5."/>
      <w:lvlJc w:val="left"/>
      <w:pPr>
        <w:ind w:left="3523" w:hanging="360"/>
      </w:pPr>
    </w:lvl>
    <w:lvl w:ilvl="5" w:tplc="240A001B" w:tentative="1">
      <w:start w:val="1"/>
      <w:numFmt w:val="lowerRoman"/>
      <w:lvlText w:val="%6."/>
      <w:lvlJc w:val="right"/>
      <w:pPr>
        <w:ind w:left="4243" w:hanging="180"/>
      </w:pPr>
    </w:lvl>
    <w:lvl w:ilvl="6" w:tplc="240A000F" w:tentative="1">
      <w:start w:val="1"/>
      <w:numFmt w:val="decimal"/>
      <w:lvlText w:val="%7."/>
      <w:lvlJc w:val="left"/>
      <w:pPr>
        <w:ind w:left="4963" w:hanging="360"/>
      </w:pPr>
    </w:lvl>
    <w:lvl w:ilvl="7" w:tplc="240A0019" w:tentative="1">
      <w:start w:val="1"/>
      <w:numFmt w:val="lowerLetter"/>
      <w:lvlText w:val="%8."/>
      <w:lvlJc w:val="left"/>
      <w:pPr>
        <w:ind w:left="5683" w:hanging="360"/>
      </w:pPr>
    </w:lvl>
    <w:lvl w:ilvl="8" w:tplc="24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9DB709E"/>
    <w:multiLevelType w:val="hybridMultilevel"/>
    <w:tmpl w:val="30AC9D9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67EED"/>
    <w:multiLevelType w:val="hybridMultilevel"/>
    <w:tmpl w:val="FC5AAE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B410B"/>
    <w:multiLevelType w:val="hybridMultilevel"/>
    <w:tmpl w:val="05A621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4102C"/>
    <w:multiLevelType w:val="hybridMultilevel"/>
    <w:tmpl w:val="C8FE38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11089"/>
    <w:multiLevelType w:val="hybridMultilevel"/>
    <w:tmpl w:val="17C8D5C8"/>
    <w:lvl w:ilvl="0" w:tplc="0CFEAC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64FD0"/>
    <w:multiLevelType w:val="hybridMultilevel"/>
    <w:tmpl w:val="D7045A6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D2288"/>
    <w:multiLevelType w:val="hybridMultilevel"/>
    <w:tmpl w:val="10CCCA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B6C37"/>
    <w:multiLevelType w:val="hybridMultilevel"/>
    <w:tmpl w:val="6382F5E0"/>
    <w:lvl w:ilvl="0" w:tplc="9A123234">
      <w:numFmt w:val="bullet"/>
      <w:lvlText w:val="•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6056DF"/>
    <w:multiLevelType w:val="hybridMultilevel"/>
    <w:tmpl w:val="F29A9A7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71762"/>
    <w:multiLevelType w:val="hybridMultilevel"/>
    <w:tmpl w:val="6EECC69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92069013">
    <w:abstractNumId w:val="7"/>
  </w:num>
  <w:num w:numId="2" w16cid:durableId="707920155">
    <w:abstractNumId w:val="0"/>
  </w:num>
  <w:num w:numId="3" w16cid:durableId="1520006266">
    <w:abstractNumId w:val="3"/>
  </w:num>
  <w:num w:numId="4" w16cid:durableId="1994868198">
    <w:abstractNumId w:val="8"/>
  </w:num>
  <w:num w:numId="5" w16cid:durableId="101999986">
    <w:abstractNumId w:val="5"/>
  </w:num>
  <w:num w:numId="6" w16cid:durableId="1180050603">
    <w:abstractNumId w:val="4"/>
  </w:num>
  <w:num w:numId="7" w16cid:durableId="2102679533">
    <w:abstractNumId w:val="6"/>
  </w:num>
  <w:num w:numId="8" w16cid:durableId="812330640">
    <w:abstractNumId w:val="2"/>
  </w:num>
  <w:num w:numId="9" w16cid:durableId="1886484637">
    <w:abstractNumId w:val="9"/>
  </w:num>
  <w:num w:numId="10" w16cid:durableId="188110580">
    <w:abstractNumId w:val="1"/>
  </w:num>
  <w:num w:numId="11" w16cid:durableId="11494023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26"/>
    <w:rsid w:val="00005844"/>
    <w:rsid w:val="00043942"/>
    <w:rsid w:val="000D0BEE"/>
    <w:rsid w:val="000D6943"/>
    <w:rsid w:val="000F567A"/>
    <w:rsid w:val="00125E68"/>
    <w:rsid w:val="00143A2C"/>
    <w:rsid w:val="0014658E"/>
    <w:rsid w:val="001502B8"/>
    <w:rsid w:val="00164E11"/>
    <w:rsid w:val="001B3B8D"/>
    <w:rsid w:val="001B723D"/>
    <w:rsid w:val="002005A9"/>
    <w:rsid w:val="00212507"/>
    <w:rsid w:val="0022609A"/>
    <w:rsid w:val="00243CB4"/>
    <w:rsid w:val="00244F63"/>
    <w:rsid w:val="00251F6B"/>
    <w:rsid w:val="002806F2"/>
    <w:rsid w:val="00284D81"/>
    <w:rsid w:val="00292542"/>
    <w:rsid w:val="002B259D"/>
    <w:rsid w:val="002C3CA2"/>
    <w:rsid w:val="002C5CC7"/>
    <w:rsid w:val="00346F3A"/>
    <w:rsid w:val="003623C3"/>
    <w:rsid w:val="00380BA7"/>
    <w:rsid w:val="003A147B"/>
    <w:rsid w:val="003A3C10"/>
    <w:rsid w:val="003A5EDC"/>
    <w:rsid w:val="003B6C26"/>
    <w:rsid w:val="003C3330"/>
    <w:rsid w:val="003D2F74"/>
    <w:rsid w:val="003F6172"/>
    <w:rsid w:val="0040689A"/>
    <w:rsid w:val="004600F2"/>
    <w:rsid w:val="00464196"/>
    <w:rsid w:val="0046582E"/>
    <w:rsid w:val="0047169E"/>
    <w:rsid w:val="00503829"/>
    <w:rsid w:val="005041B1"/>
    <w:rsid w:val="005050C7"/>
    <w:rsid w:val="00530305"/>
    <w:rsid w:val="00534960"/>
    <w:rsid w:val="00543054"/>
    <w:rsid w:val="00553090"/>
    <w:rsid w:val="005A2590"/>
    <w:rsid w:val="005C7A00"/>
    <w:rsid w:val="005D5138"/>
    <w:rsid w:val="006053FC"/>
    <w:rsid w:val="00640E42"/>
    <w:rsid w:val="0064600F"/>
    <w:rsid w:val="00657673"/>
    <w:rsid w:val="00677306"/>
    <w:rsid w:val="006853E6"/>
    <w:rsid w:val="00692A8A"/>
    <w:rsid w:val="00692A92"/>
    <w:rsid w:val="00693221"/>
    <w:rsid w:val="006976BF"/>
    <w:rsid w:val="006A1FBF"/>
    <w:rsid w:val="006A45F2"/>
    <w:rsid w:val="006A49FF"/>
    <w:rsid w:val="006B545B"/>
    <w:rsid w:val="006C1582"/>
    <w:rsid w:val="006C2C20"/>
    <w:rsid w:val="006C543E"/>
    <w:rsid w:val="006D1939"/>
    <w:rsid w:val="006D5ECF"/>
    <w:rsid w:val="006E16E1"/>
    <w:rsid w:val="007136E8"/>
    <w:rsid w:val="007504D1"/>
    <w:rsid w:val="0075714B"/>
    <w:rsid w:val="007637F1"/>
    <w:rsid w:val="007A0524"/>
    <w:rsid w:val="007A4884"/>
    <w:rsid w:val="00832115"/>
    <w:rsid w:val="0083436E"/>
    <w:rsid w:val="00863A26"/>
    <w:rsid w:val="0086545C"/>
    <w:rsid w:val="00871E0C"/>
    <w:rsid w:val="008D18D4"/>
    <w:rsid w:val="00933C0C"/>
    <w:rsid w:val="00944EDC"/>
    <w:rsid w:val="009513A7"/>
    <w:rsid w:val="0098549C"/>
    <w:rsid w:val="009B324D"/>
    <w:rsid w:val="009B65B7"/>
    <w:rsid w:val="009C347C"/>
    <w:rsid w:val="009F6B0A"/>
    <w:rsid w:val="00A071B1"/>
    <w:rsid w:val="00A14EC4"/>
    <w:rsid w:val="00A51A14"/>
    <w:rsid w:val="00A724C4"/>
    <w:rsid w:val="00A9679E"/>
    <w:rsid w:val="00A9702F"/>
    <w:rsid w:val="00A97813"/>
    <w:rsid w:val="00AA427E"/>
    <w:rsid w:val="00AD4A99"/>
    <w:rsid w:val="00AE12C5"/>
    <w:rsid w:val="00AF44A3"/>
    <w:rsid w:val="00AF4EF6"/>
    <w:rsid w:val="00B43465"/>
    <w:rsid w:val="00B54788"/>
    <w:rsid w:val="00B64762"/>
    <w:rsid w:val="00B82553"/>
    <w:rsid w:val="00B87F74"/>
    <w:rsid w:val="00BE115D"/>
    <w:rsid w:val="00C07F46"/>
    <w:rsid w:val="00C1764B"/>
    <w:rsid w:val="00C2424F"/>
    <w:rsid w:val="00C4037E"/>
    <w:rsid w:val="00C5648C"/>
    <w:rsid w:val="00C56CEF"/>
    <w:rsid w:val="00C6007C"/>
    <w:rsid w:val="00C63EF0"/>
    <w:rsid w:val="00C8514C"/>
    <w:rsid w:val="00CA62DD"/>
    <w:rsid w:val="00D0270B"/>
    <w:rsid w:val="00D3297F"/>
    <w:rsid w:val="00D35493"/>
    <w:rsid w:val="00D5214B"/>
    <w:rsid w:val="00D635BC"/>
    <w:rsid w:val="00D83860"/>
    <w:rsid w:val="00D84A62"/>
    <w:rsid w:val="00D902B0"/>
    <w:rsid w:val="00DA586D"/>
    <w:rsid w:val="00DB3505"/>
    <w:rsid w:val="00DD46A4"/>
    <w:rsid w:val="00DE103B"/>
    <w:rsid w:val="00DE63C8"/>
    <w:rsid w:val="00DF1B4B"/>
    <w:rsid w:val="00E07225"/>
    <w:rsid w:val="00E52278"/>
    <w:rsid w:val="00E76D4A"/>
    <w:rsid w:val="00E96AE6"/>
    <w:rsid w:val="00EA785D"/>
    <w:rsid w:val="00EC5198"/>
    <w:rsid w:val="00EC53B9"/>
    <w:rsid w:val="00F44C1C"/>
    <w:rsid w:val="00F770E5"/>
    <w:rsid w:val="00F83E5C"/>
    <w:rsid w:val="00F9146A"/>
    <w:rsid w:val="00F9264F"/>
    <w:rsid w:val="00F96ED6"/>
    <w:rsid w:val="00FA53D1"/>
    <w:rsid w:val="00FC3A5D"/>
    <w:rsid w:val="00FC6259"/>
    <w:rsid w:val="00FF5C19"/>
    <w:rsid w:val="00FF6946"/>
    <w:rsid w:val="03E22822"/>
    <w:rsid w:val="04C6375F"/>
    <w:rsid w:val="069F4C65"/>
    <w:rsid w:val="0958D5D8"/>
    <w:rsid w:val="159CB448"/>
    <w:rsid w:val="41E9A640"/>
    <w:rsid w:val="5A1DF169"/>
    <w:rsid w:val="5EF3EF48"/>
    <w:rsid w:val="61D8F93F"/>
    <w:rsid w:val="6C81D9D8"/>
    <w:rsid w:val="70C6B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F0DC9"/>
  <w15:chartTrackingRefBased/>
  <w15:docId w15:val="{CB68250B-8602-49EB-ABF1-6AD3E954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939"/>
    <w:pPr>
      <w:spacing w:line="240" w:lineRule="auto"/>
      <w:jc w:val="both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863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63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63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63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63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63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63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63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63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63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63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63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63A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63A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6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6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6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6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63A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6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63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6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63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6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63A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63A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63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63A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63A2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5767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57673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51F6B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51F6B"/>
    <w:rPr>
      <w:rFonts w:ascii="Arial" w:hAnsi="Arial" w:cs="Arial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251F6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44C1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44C1C"/>
    <w:rPr>
      <w:rFonts w:ascii="Arial" w:hAnsi="Arial" w:cs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44C1C"/>
    <w:rPr>
      <w:vertAlign w:val="superscript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284D81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284D81"/>
    <w:rPr>
      <w:rFonts w:ascii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284D81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4D81"/>
    <w:rPr>
      <w:rFonts w:ascii="Arial" w:hAnsi="Arial" w:cs="Arial"/>
    </w:rPr>
  </w:style>
  <w:style w:type="paragraph" w:styleId="Textoindependiente">
    <w:name w:val="Body Text"/>
    <w:basedOn w:val="Normal"/>
    <w:link w:val="TextoindependienteCar"/>
    <w:rsid w:val="00C8514C"/>
    <w:pPr>
      <w:spacing w:after="0"/>
    </w:pPr>
    <w:rPr>
      <w:rFonts w:ascii="Times New Roman" w:eastAsia="Times New Roman" w:hAnsi="Times New Roman" w:cs="Times New Roman"/>
      <w:kern w:val="0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C8514C"/>
    <w:rPr>
      <w:rFonts w:ascii="Times New Roman" w:eastAsia="Times New Roman" w:hAnsi="Times New Roman" w:cs="Times New Roman"/>
      <w:kern w:val="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08C58B39498E4896A2054B5FC01AEB" ma:contentTypeVersion="10" ma:contentTypeDescription="Crear nuevo documento." ma:contentTypeScope="" ma:versionID="d9c3e3ec5e0546637acbec46b3c5a26c">
  <xsd:schema xmlns:xsd="http://www.w3.org/2001/XMLSchema" xmlns:xs="http://www.w3.org/2001/XMLSchema" xmlns:p="http://schemas.microsoft.com/office/2006/metadata/properties" xmlns:ns2="83b6216f-50ca-4067-8039-c588814c8876" xmlns:ns3="f591d60a-2ca2-4f72-bf37-5f6cc3d2c449" targetNamespace="http://schemas.microsoft.com/office/2006/metadata/properties" ma:root="true" ma:fieldsID="83c3124ad89ac7c795202babcd3dbbfb" ns2:_="" ns3:_="">
    <xsd:import namespace="83b6216f-50ca-4067-8039-c588814c8876"/>
    <xsd:import namespace="f591d60a-2ca2-4f72-bf37-5f6cc3d2c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6216f-50ca-4067-8039-c588814c8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Etiquetas de imagen_0" ma:hidden="true" ma:internalName="lcf76f155ced4ddcb4097134ff3c332f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1d60a-2ca2-4f72-bf37-5f6cc3d2c44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0e35cc8-e9e2-414a-b1f7-d83e465e3d54}" ma:internalName="TaxCatchAll" ma:showField="CatchAllData" ma:web="f591d60a-2ca2-4f72-bf37-5f6cc3d2c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91d60a-2ca2-4f72-bf37-5f6cc3d2c449" xsi:nil="true"/>
    <lcf76f155ced4ddcb4097134ff3c332f xmlns="83b6216f-50ca-4067-8039-c588814c88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7E6A2-AF60-440A-9AA3-D15454C331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93E08-474A-412D-AADC-F3C011BCE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6216f-50ca-4067-8039-c588814c8876"/>
    <ds:schemaRef ds:uri="f591d60a-2ca2-4f72-bf37-5f6cc3d2c4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06059F-36B2-4360-A2B4-5BB152080BAA}">
  <ds:schemaRefs>
    <ds:schemaRef ds:uri="http://schemas.microsoft.com/office/2006/metadata/properties"/>
    <ds:schemaRef ds:uri="http://schemas.microsoft.com/office/infopath/2007/PartnerControls"/>
    <ds:schemaRef ds:uri="f591d60a-2ca2-4f72-bf37-5f6cc3d2c449"/>
    <ds:schemaRef ds:uri="83b6216f-50ca-4067-8039-c588814c8876"/>
  </ds:schemaRefs>
</ds:datastoreItem>
</file>

<file path=customXml/itemProps4.xml><?xml version="1.0" encoding="utf-8"?>
<ds:datastoreItem xmlns:ds="http://schemas.openxmlformats.org/officeDocument/2006/customXml" ds:itemID="{DE23197F-0669-49E8-8078-95B3B908D5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92a5f3-bc7a-4a79-8c5e-5e483f7789bf}" enabled="0" method="" siteId="{3d92a5f3-bc7a-4a79-8c5e-5e483f7789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1188</Words>
  <Characters>6537</Characters>
  <Application>Microsoft Office Word</Application>
  <DocSecurity>0</DocSecurity>
  <Lines>54</Lines>
  <Paragraphs>15</Paragraphs>
  <ScaleCrop>false</ScaleCrop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Alejandra Caicedo Guerrero</dc:creator>
  <cp:keywords/>
  <dc:description/>
  <cp:lastModifiedBy>Fabian Vinchira Cabrera</cp:lastModifiedBy>
  <cp:revision>14</cp:revision>
  <dcterms:created xsi:type="dcterms:W3CDTF">2026-10-02T13:36:00Z</dcterms:created>
  <dcterms:modified xsi:type="dcterms:W3CDTF">2026-10-02T14:10:00Z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0x0101002C08C58B39498E4896A2054B5FC01AEB</vt:lpwstr>
  </property>
</Properties>
</file>