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B4B37" w:rsidR="00FB4B37" w:rsidP="00FB4B37" w:rsidRDefault="00FB4B37" w14:paraId="2E82016E" w14:textId="77777777">
      <w:pPr>
        <w:jc w:val="center"/>
        <w:rPr>
          <w:rFonts w:ascii="Verdana" w:hAnsi="Verdana"/>
        </w:rPr>
      </w:pPr>
      <w:r w:rsidRPr="00FB4B37">
        <w:rPr>
          <w:rFonts w:ascii="Verdana" w:hAnsi="Verdana"/>
          <w:b/>
          <w:bCs/>
        </w:rPr>
        <w:t>RESOLUCIÓN 1092 DE 2011</w:t>
      </w:r>
    </w:p>
    <w:p w:rsidRPr="00A85783" w:rsidR="00FB4B37" w:rsidP="00FB4B37" w:rsidRDefault="00FB4B37" w14:paraId="24E2E0BF" w14:textId="77777777">
      <w:pPr>
        <w:pStyle w:val="Sinespaciado"/>
        <w:rPr>
          <w:rFonts w:ascii="Verdana" w:hAnsi="Verdana"/>
          <w:sz w:val="20"/>
          <w:szCs w:val="20"/>
        </w:rPr>
      </w:pPr>
      <w:bookmarkStart w:name="_Hlk220275951" w:id="0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26491B">
        <w:rPr>
          <w:rFonts w:ascii="Verdana" w:hAnsi="Verdana"/>
          <w:sz w:val="20"/>
          <w:szCs w:val="20"/>
        </w:rPr>
        <w:t xml:space="preserve">31 de marzo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2011</w:t>
      </w:r>
    </w:p>
    <w:p w:rsidRPr="00A85783" w:rsidR="00FB4B37" w:rsidP="00FB4B37" w:rsidRDefault="00FB4B37" w14:paraId="2ED4C8D1" w14:textId="7777777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26491B">
        <w:rPr>
          <w:rFonts w:ascii="Verdana" w:hAnsi="Verdana"/>
          <w:sz w:val="20"/>
          <w:szCs w:val="20"/>
        </w:rPr>
        <w:t xml:space="preserve">31 de marzo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2011</w:t>
      </w:r>
    </w:p>
    <w:p w:rsidRPr="00A85783" w:rsidR="00FB4B37" w:rsidP="00FB4B37" w:rsidRDefault="00FB4B37" w14:paraId="3428D411" w14:textId="7777777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:rsidR="00FB4B37" w:rsidP="00FB4B37" w:rsidRDefault="00FB4B37" w14:paraId="1D5C575C" w14:textId="77777777">
      <w:pPr>
        <w:pStyle w:val="Sinespaciado"/>
        <w:rPr>
          <w:rFonts w:ascii="Verdana" w:hAnsi="Verdana"/>
          <w:sz w:val="20"/>
          <w:szCs w:val="20"/>
        </w:rPr>
      </w:pPr>
    </w:p>
    <w:p w:rsidRPr="00A85783" w:rsidR="00FB4B37" w:rsidP="00FB4B37" w:rsidRDefault="00FB4B37" w14:paraId="7A902D53" w14:textId="7777777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:rsidR="00FB4B37" w:rsidP="00FB4B37" w:rsidRDefault="00FB4B37" w14:paraId="0827BF3E" w14:textId="7777777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p w:rsidR="000C71DA" w:rsidP="00FB4B37" w:rsidRDefault="000C71DA" w14:paraId="0BF481F0" w14:textId="77777777">
      <w:pPr>
        <w:pStyle w:val="Sinespaciado"/>
        <w:rPr>
          <w:rFonts w:ascii="Verdana" w:hAnsi="Verdana"/>
          <w:sz w:val="20"/>
          <w:szCs w:val="20"/>
        </w:rPr>
      </w:pPr>
    </w:p>
    <w:bookmarkEnd w:id="0"/>
    <w:p w:rsidRPr="00FB4B37" w:rsidR="00FB4B37" w:rsidP="00FB4B37" w:rsidRDefault="00FB4B37" w14:paraId="3B2BCF94" w14:textId="77777777">
      <w:pPr>
        <w:jc w:val="center"/>
        <w:rPr>
          <w:rFonts w:ascii="Verdana" w:hAnsi="Verdana"/>
        </w:rPr>
      </w:pPr>
      <w:r w:rsidRPr="00FB4B37">
        <w:rPr>
          <w:rFonts w:ascii="Verdana" w:hAnsi="Verdana"/>
          <w:b/>
          <w:bCs/>
        </w:rPr>
        <w:t>RESOLUCIÓN 1092 DE 2011</w:t>
      </w:r>
    </w:p>
    <w:p w:rsidRPr="00FB4B37" w:rsidR="00FB4B37" w:rsidP="00FB4B37" w:rsidRDefault="00FB4B37" w14:paraId="1AC73882" w14:textId="52D3CF42">
      <w:pPr>
        <w:jc w:val="center"/>
        <w:rPr>
          <w:rFonts w:ascii="Verdana" w:hAnsi="Verdana"/>
        </w:rPr>
      </w:pPr>
      <w:r w:rsidRPr="00FB4B37">
        <w:rPr>
          <w:rFonts w:ascii="Verdana" w:hAnsi="Verdana"/>
        </w:rPr>
        <w:t>(</w:t>
      </w:r>
      <w:r w:rsidRPr="0026491B">
        <w:rPr>
          <w:rFonts w:ascii="Verdana" w:hAnsi="Verdana"/>
          <w:sz w:val="20"/>
          <w:szCs w:val="20"/>
        </w:rPr>
        <w:t>31 de marzo</w:t>
      </w:r>
      <w:r w:rsidRPr="00FB4B37">
        <w:rPr>
          <w:rFonts w:ascii="Verdana" w:hAnsi="Verdana"/>
        </w:rPr>
        <w:t>)</w:t>
      </w:r>
    </w:p>
    <w:p w:rsidRPr="00FB4B37" w:rsidR="00FB4B37" w:rsidP="00FB4B37" w:rsidRDefault="00FB4B37" w14:paraId="18C64C1F" w14:textId="77777777">
      <w:pPr>
        <w:jc w:val="center"/>
        <w:rPr>
          <w:rFonts w:ascii="Verdana" w:hAnsi="Verdana"/>
        </w:rPr>
      </w:pPr>
      <w:r w:rsidRPr="00FB4B37">
        <w:rPr>
          <w:rFonts w:ascii="Verdana" w:hAnsi="Verdana"/>
          <w:b/>
          <w:bCs/>
        </w:rPr>
        <w:t>INSTITUTO COLOMBIANO DE BIENESTAR FAMILIAR – ICBF</w:t>
      </w:r>
    </w:p>
    <w:p w:rsidRPr="00FB4B37" w:rsidR="00FB4B37" w:rsidP="00FB4B37" w:rsidRDefault="00FB4B37" w14:paraId="0A63023A" w14:textId="77777777">
      <w:pPr>
        <w:jc w:val="center"/>
        <w:rPr>
          <w:rFonts w:ascii="Verdana" w:hAnsi="Verdana"/>
        </w:rPr>
      </w:pPr>
      <w:r w:rsidRPr="00FB4B37">
        <w:rPr>
          <w:rFonts w:ascii="Verdana" w:hAnsi="Verdana"/>
        </w:rPr>
        <w:t>Por la cual se delegan unas funciones en la Dirección Financiera de la Dirección General del Instituto Colombiano de Bienestar Familiar - Cecilia De la Fuente de Lleras</w:t>
      </w:r>
    </w:p>
    <w:p w:rsidRPr="00FB4B37" w:rsidR="00FB4B37" w:rsidP="00FB4B37" w:rsidRDefault="00FB4B37" w14:paraId="1359310E" w14:textId="77777777">
      <w:pPr>
        <w:jc w:val="center"/>
        <w:rPr>
          <w:rFonts w:ascii="Verdana" w:hAnsi="Verdana"/>
        </w:rPr>
      </w:pPr>
      <w:r w:rsidRPr="00FB4B37">
        <w:rPr>
          <w:rFonts w:ascii="Verdana" w:hAnsi="Verdana"/>
          <w:b/>
          <w:bCs/>
        </w:rPr>
        <w:t>LA DIRECTORA GENERAL DEL INSTITUTO COLOMBIANO DE BIENESTAR FAMILIAR - CECILIA DE LA FUENTE DE LLERAS</w:t>
      </w:r>
    </w:p>
    <w:p w:rsidRPr="00FB4B37" w:rsidR="00FB4B37" w:rsidP="00FB4B37" w:rsidRDefault="00FB4B37" w14:paraId="5FBBB296" w14:textId="77777777">
      <w:pPr>
        <w:jc w:val="center"/>
        <w:rPr>
          <w:rFonts w:ascii="Verdana" w:hAnsi="Verdana"/>
        </w:rPr>
      </w:pPr>
      <w:r w:rsidRPr="00FB4B37">
        <w:rPr>
          <w:rFonts w:ascii="Verdana" w:hAnsi="Verdana"/>
        </w:rPr>
        <w:t>En uso de sus facultades legales y estatutarias, y</w:t>
      </w:r>
    </w:p>
    <w:p w:rsidRPr="00FB4B37" w:rsidR="00FB4B37" w:rsidP="00FB4B37" w:rsidRDefault="00FB4B37" w14:paraId="3EBF0FCA" w14:textId="77777777">
      <w:pPr>
        <w:jc w:val="center"/>
        <w:rPr>
          <w:rFonts w:ascii="Verdana" w:hAnsi="Verdana"/>
        </w:rPr>
      </w:pPr>
      <w:r w:rsidRPr="00FB4B37">
        <w:rPr>
          <w:rFonts w:ascii="Verdana" w:hAnsi="Verdana"/>
          <w:b/>
          <w:bCs/>
        </w:rPr>
        <w:t>CONSIDERANDO</w:t>
      </w:r>
    </w:p>
    <w:p w:rsidRPr="00FB4B37" w:rsidR="00FB4B37" w:rsidP="00FB4B37" w:rsidRDefault="00FB4B37" w14:paraId="42CD966B" w14:textId="0531CD69">
      <w:pPr>
        <w:jc w:val="both"/>
        <w:rPr>
          <w:rFonts w:ascii="Verdana" w:hAnsi="Verdana"/>
        </w:rPr>
      </w:pPr>
      <w:r w:rsidRPr="00FB4B37">
        <w:rPr>
          <w:rFonts w:ascii="Verdana" w:hAnsi="Verdana"/>
          <w:i/>
          <w:iCs/>
        </w:rPr>
        <w:t>Que la Dirección Financiera del ICBF, de conformidad con los numerales 4o y 9o del artículo décimo del Decreto No. 117 de 21 de enero de 2010, tiene como funciones:</w:t>
      </w:r>
      <w:r w:rsidRPr="00FB4B37">
        <w:rPr>
          <w:rFonts w:ascii="Verdana" w:hAnsi="Verdana"/>
        </w:rPr>
        <w:t> </w:t>
      </w:r>
      <w:r w:rsidRPr="00FB4B37">
        <w:rPr>
          <w:rFonts w:ascii="Verdana" w:hAnsi="Verdana"/>
          <w:i/>
          <w:iCs/>
        </w:rPr>
        <w:t>"4. Organizar, dirigir y supervisar las operaciones financieras, contables, de tesorería, presupuesto y recaudo del Instituto"</w:t>
      </w:r>
      <w:r w:rsidRPr="00FB4B37">
        <w:rPr>
          <w:rFonts w:ascii="Verdana" w:hAnsi="Verdana"/>
        </w:rPr>
        <w:t> y "9.</w:t>
      </w:r>
      <w:r w:rsidRPr="00FB4B37">
        <w:rPr>
          <w:rFonts w:ascii="Verdana" w:hAnsi="Verdana"/>
          <w:i/>
          <w:iCs/>
        </w:rPr>
        <w:t> Preparar y presentar los estados financieros del Instituto y los demás informes y análisis de carácter financiero que sean solicitados a la Entidad."</w:t>
      </w:r>
    </w:p>
    <w:p w:rsidRPr="00FB4B37" w:rsidR="00FB4B37" w:rsidP="00FB4B37" w:rsidRDefault="00FB4B37" w14:paraId="64105F22" w14:textId="77777777">
      <w:pPr>
        <w:jc w:val="both"/>
        <w:rPr>
          <w:rFonts w:ascii="Verdana" w:hAnsi="Verdana"/>
        </w:rPr>
      </w:pPr>
      <w:proofErr w:type="gramStart"/>
      <w:r w:rsidRPr="00FB4B37">
        <w:rPr>
          <w:rFonts w:ascii="Verdana" w:hAnsi="Verdana"/>
        </w:rPr>
        <w:t>Que</w:t>
      </w:r>
      <w:proofErr w:type="gramEnd"/>
      <w:r w:rsidRPr="00FB4B37">
        <w:rPr>
          <w:rFonts w:ascii="Verdana" w:hAnsi="Verdana"/>
        </w:rPr>
        <w:t xml:space="preserve"> para cumplir con las responsabilidades tributarias del Distrito Capital, se han venido presentando ante la Secretaría de Hacienda Distrital de la Alcaldía Mayor de Bogotá D.C., las declaraciones de Industria y Comercio, de Retención de Industria y Comercio y de información exógena para las operaciones de la Dirección General con el NIT 899.999.239-2, de la Dirección Regional Cundinamarca con el NIT 800.213.350-1 y de la Dirección Regional Bogotá con el NIT 800.213.277-1.</w:t>
      </w:r>
    </w:p>
    <w:p w:rsidRPr="00FB4B37" w:rsidR="00FB4B37" w:rsidP="00FB4B37" w:rsidRDefault="00FB4B37" w14:paraId="631E9A81" w14:textId="0827ED85">
      <w:pPr>
        <w:jc w:val="both"/>
        <w:rPr>
          <w:rFonts w:ascii="Verdana" w:hAnsi="Verdana"/>
        </w:rPr>
      </w:pPr>
      <w:r w:rsidRPr="00FB4B37">
        <w:rPr>
          <w:rFonts w:ascii="Verdana" w:hAnsi="Verdana"/>
        </w:rPr>
        <w:t>Que, según las instrucciones impartidas por el Ministerio de Hacienda y Crédito Público, mediante circulares externas 038 y 039 de noviembre 16 y 19 de 2010, respectivamente, el ICBF debe implementar el Sistema Integrado de Información Financiera SIIF, Nación II, cuya herramienta informática lo obliga a manejar una sola identificación tributaria, es decir el NIT 899.999.239-2, el cual es utilizado para la presentación de obligaciones nacionales.</w:t>
      </w:r>
    </w:p>
    <w:p w:rsidRPr="00FB4B37" w:rsidR="00FB4B37" w:rsidP="00FB4B37" w:rsidRDefault="00FB4B37" w14:paraId="281A2A12" w14:textId="77777777">
      <w:pPr>
        <w:jc w:val="both"/>
        <w:rPr>
          <w:rFonts w:ascii="Verdana" w:hAnsi="Verdana"/>
        </w:rPr>
      </w:pPr>
      <w:r w:rsidRPr="00FB4B37">
        <w:rPr>
          <w:rFonts w:ascii="Verdana" w:hAnsi="Verdana"/>
          <w:i/>
          <w:iCs/>
        </w:rPr>
        <w:t>Que el parágrafo único del artículo segundo de la Resolución SDH-000386 del 30 de diciembre de 2008, expedida por la Secretaría de Hacienda Distrital de la Alcaldía Mayor de Bogotá D.C., establece que</w:t>
      </w:r>
      <w:r w:rsidRPr="00FB4B37">
        <w:rPr>
          <w:rFonts w:ascii="Verdana" w:hAnsi="Verdana"/>
        </w:rPr>
        <w:t xml:space="preserve"> Los contribuyentes y/o agentes </w:t>
      </w:r>
      <w:r w:rsidRPr="00FB4B37">
        <w:rPr>
          <w:rFonts w:ascii="Verdana" w:hAnsi="Verdana"/>
        </w:rPr>
        <w:lastRenderedPageBreak/>
        <w:t>retenedores calificados con la Dirección de Impuestos y Aduanas Nacionales como Grandes Contribuyentes deberán presentar en forma electrónica la correspondiente declaración de Industria y Comercio y/o Retención por Industria y Comercio, y pagar el impuesto de industria y comercio y las retenciones practicadas, a más tardar el último día hábil del mes siguiente al correspondiente periodo gravable.</w:t>
      </w:r>
    </w:p>
    <w:p w:rsidRPr="00FB4B37" w:rsidR="00FB4B37" w:rsidP="00FB4B37" w:rsidRDefault="00FB4B37" w14:paraId="0ECCBAE6" w14:textId="77777777">
      <w:pPr>
        <w:jc w:val="both"/>
        <w:rPr>
          <w:rFonts w:ascii="Verdana" w:hAnsi="Verdana"/>
        </w:rPr>
      </w:pPr>
      <w:proofErr w:type="gramStart"/>
      <w:r w:rsidRPr="00FB4B37">
        <w:rPr>
          <w:rFonts w:ascii="Verdana" w:hAnsi="Verdana"/>
        </w:rPr>
        <w:t>Que</w:t>
      </w:r>
      <w:proofErr w:type="gramEnd"/>
      <w:r w:rsidRPr="00FB4B37">
        <w:rPr>
          <w:rFonts w:ascii="Verdana" w:hAnsi="Verdana"/>
        </w:rPr>
        <w:t xml:space="preserve"> en mérito de lo expuesto,</w:t>
      </w:r>
    </w:p>
    <w:p w:rsidRPr="00FB4B37" w:rsidR="00FB4B37" w:rsidP="00FB4B37" w:rsidRDefault="00FB4B37" w14:paraId="5F2AD289" w14:textId="77777777">
      <w:pPr>
        <w:jc w:val="center"/>
        <w:rPr>
          <w:rFonts w:ascii="Verdana" w:hAnsi="Verdana"/>
        </w:rPr>
      </w:pPr>
      <w:r w:rsidRPr="00FB4B37">
        <w:rPr>
          <w:rFonts w:ascii="Verdana" w:hAnsi="Verdana"/>
          <w:b/>
          <w:bCs/>
        </w:rPr>
        <w:t>RESUELVE</w:t>
      </w:r>
    </w:p>
    <w:p w:rsidRPr="00FB4B37" w:rsidR="00FB4B37" w:rsidP="00FB4B37" w:rsidRDefault="00FB4B37" w14:paraId="08DBA877" w14:textId="77777777">
      <w:pPr>
        <w:jc w:val="both"/>
        <w:rPr>
          <w:rFonts w:ascii="Verdana" w:hAnsi="Verdana"/>
        </w:rPr>
      </w:pPr>
      <w:bookmarkStart w:name="1" w:id="1"/>
      <w:r w:rsidRPr="00FB4B37">
        <w:rPr>
          <w:rFonts w:ascii="Verdana" w:hAnsi="Verdana"/>
          <w:b/>
          <w:bCs/>
        </w:rPr>
        <w:t>ARTÍCULO PRIMERO.</w:t>
      </w:r>
      <w:bookmarkEnd w:id="1"/>
      <w:r w:rsidRPr="00FB4B37">
        <w:rPr>
          <w:rFonts w:ascii="Verdana" w:hAnsi="Verdana"/>
        </w:rPr>
        <w:t xml:space="preserve"> Delegar en la </w:t>
      </w:r>
      <w:proofErr w:type="gramStart"/>
      <w:r w:rsidRPr="00FB4B37">
        <w:rPr>
          <w:rFonts w:ascii="Verdana" w:hAnsi="Verdana"/>
        </w:rPr>
        <w:t>Directora</w:t>
      </w:r>
      <w:proofErr w:type="gramEnd"/>
      <w:r w:rsidRPr="00FB4B37">
        <w:rPr>
          <w:rFonts w:ascii="Verdana" w:hAnsi="Verdana"/>
        </w:rPr>
        <w:t xml:space="preserve"> Financiera de la Dirección General del ICBF las actuaciones que se requiera realizar ante la Secretaría de Hacienda Distrital de la Alcaldía Mayor de Bogotá, D.C.</w:t>
      </w:r>
    </w:p>
    <w:p w:rsidRPr="00FB4B37" w:rsidR="00FB4B37" w:rsidP="00FB4B37" w:rsidRDefault="00FB4B37" w14:paraId="6DDA96C6" w14:textId="77777777">
      <w:pPr>
        <w:jc w:val="both"/>
        <w:rPr>
          <w:rFonts w:ascii="Verdana" w:hAnsi="Verdana"/>
        </w:rPr>
      </w:pPr>
      <w:bookmarkStart w:name="2" w:id="2"/>
      <w:r w:rsidRPr="00FB4B37">
        <w:rPr>
          <w:rFonts w:ascii="Verdana" w:hAnsi="Verdana"/>
          <w:b/>
          <w:bCs/>
        </w:rPr>
        <w:t>ARTÍCULO SEGUNDO.</w:t>
      </w:r>
      <w:bookmarkEnd w:id="2"/>
      <w:r w:rsidRPr="00FB4B37">
        <w:rPr>
          <w:rFonts w:ascii="Verdana" w:hAnsi="Verdana"/>
        </w:rPr>
        <w:t> Delegar en la Coordinadora del Grupo de Contabilidad, quien ejerce las funciones de Contadora General, la firma de las Declaraciones de Industria y Comercio, de Retención por Industria y Comercio y de Información Exógena que se presentan ante la Secretaría de Hacienda Distrital de la Alcaldía Mayor de Bogotá D.C.</w:t>
      </w:r>
    </w:p>
    <w:p w:rsidRPr="00FB4B37" w:rsidR="00FB4B37" w:rsidP="00FB4B37" w:rsidRDefault="00FB4B37" w14:paraId="75D716F3" w14:textId="77777777">
      <w:pPr>
        <w:jc w:val="both"/>
        <w:rPr>
          <w:rFonts w:ascii="Verdana" w:hAnsi="Verdana"/>
        </w:rPr>
      </w:pPr>
      <w:bookmarkStart w:name="3" w:id="3"/>
      <w:r w:rsidRPr="00FB4B37">
        <w:rPr>
          <w:rFonts w:ascii="Verdana" w:hAnsi="Verdana"/>
          <w:b/>
          <w:bCs/>
        </w:rPr>
        <w:t>ARTÍCULO TERCERO.</w:t>
      </w:r>
      <w:bookmarkEnd w:id="3"/>
      <w:r w:rsidRPr="00FB4B37">
        <w:rPr>
          <w:rFonts w:ascii="Verdana" w:hAnsi="Verdana"/>
        </w:rPr>
        <w:t> Delegar en la Coordinadora del Grupo de Tesorería, quien ejerce las funciones de Tesorera General, la presentación y pago de las Declaraciones de Industria y Comercio y de Retención de Industria y Comercio que se realizan ante la Secretaría de Hacienda Distrital de la Alcaldía Mayor de Bogotá D.C.</w:t>
      </w:r>
    </w:p>
    <w:p w:rsidRPr="00FB4B37" w:rsidR="00FB4B37" w:rsidP="00FB4B37" w:rsidRDefault="00FB4B37" w14:paraId="57984D34" w14:textId="77777777">
      <w:pPr>
        <w:jc w:val="both"/>
        <w:rPr>
          <w:rFonts w:ascii="Verdana" w:hAnsi="Verdana"/>
        </w:rPr>
      </w:pPr>
      <w:bookmarkStart w:name="4" w:id="4"/>
      <w:r w:rsidRPr="00FB4B37">
        <w:rPr>
          <w:rFonts w:ascii="Verdana" w:hAnsi="Verdana"/>
          <w:b/>
          <w:bCs/>
        </w:rPr>
        <w:t>ARTÍCULO CUARTO.</w:t>
      </w:r>
      <w:bookmarkEnd w:id="4"/>
      <w:r w:rsidRPr="00FB4B37">
        <w:rPr>
          <w:rFonts w:ascii="Verdana" w:hAnsi="Verdana"/>
        </w:rPr>
        <w:t> La presente Resolución rige a partir de la fecha de su expedición.</w:t>
      </w:r>
    </w:p>
    <w:p w:rsidRPr="000C71DA" w:rsidR="00FB4B37" w:rsidP="00FB4B37" w:rsidRDefault="00FB4B37" w14:paraId="08D6B782" w14:textId="77777777">
      <w:pPr>
        <w:jc w:val="center"/>
        <w:rPr>
          <w:rFonts w:ascii="Verdana" w:hAnsi="Verdana"/>
          <w:b/>
          <w:bCs/>
        </w:rPr>
      </w:pPr>
      <w:r w:rsidRPr="000C71DA">
        <w:rPr>
          <w:rFonts w:ascii="Verdana" w:hAnsi="Verdana"/>
          <w:b/>
          <w:bCs/>
        </w:rPr>
        <w:t>COMUNIQUESE Y CÚMPLASE</w:t>
      </w:r>
    </w:p>
    <w:p w:rsidRPr="00FB4B37" w:rsidR="00FB4B37" w:rsidP="00FB4B37" w:rsidRDefault="00FB4B37" w14:paraId="304AB41E" w14:textId="58335F48">
      <w:pPr>
        <w:jc w:val="center"/>
        <w:rPr>
          <w:rFonts w:ascii="Verdana" w:hAnsi="Verdana"/>
        </w:rPr>
      </w:pPr>
      <w:r w:rsidRPr="00FB4B37">
        <w:rPr>
          <w:rFonts w:ascii="Verdana" w:hAnsi="Verdana"/>
        </w:rPr>
        <w:t xml:space="preserve">Dada en Bogotá D.C. </w:t>
      </w:r>
      <w:proofErr w:type="gramStart"/>
      <w:r w:rsidRPr="00FB4B37">
        <w:rPr>
          <w:rFonts w:ascii="Verdana" w:hAnsi="Verdana"/>
        </w:rPr>
        <w:t xml:space="preserve">a los 31 </w:t>
      </w:r>
      <w:r>
        <w:rPr>
          <w:rFonts w:ascii="Verdana" w:hAnsi="Verdana"/>
        </w:rPr>
        <w:t>de marzo de</w:t>
      </w:r>
      <w:r w:rsidRPr="00FB4B37">
        <w:rPr>
          <w:rFonts w:ascii="Verdana" w:hAnsi="Verdana"/>
        </w:rPr>
        <w:t xml:space="preserve"> 2011</w:t>
      </w:r>
      <w:proofErr w:type="gramEnd"/>
    </w:p>
    <w:p w:rsidRPr="00FB4B37" w:rsidR="00FB4B37" w:rsidP="00FB4B37" w:rsidRDefault="00FB4B37" w14:paraId="3CECBE16" w14:textId="77777777">
      <w:pPr>
        <w:jc w:val="center"/>
        <w:rPr>
          <w:rFonts w:ascii="Verdana" w:hAnsi="Verdana"/>
        </w:rPr>
      </w:pPr>
      <w:r w:rsidRPr="00FB4B37">
        <w:rPr>
          <w:rFonts w:ascii="Verdana" w:hAnsi="Verdana"/>
          <w:b/>
          <w:bCs/>
        </w:rPr>
        <w:t>ELVIRA FORERO HERNANDEZ</w:t>
      </w:r>
    </w:p>
    <w:p w:rsidRPr="00FB4B37" w:rsidR="00FB4B37" w:rsidP="00FB4B37" w:rsidRDefault="00FB4B37" w14:paraId="61452E01" w14:textId="77777777">
      <w:pPr>
        <w:jc w:val="center"/>
        <w:rPr>
          <w:rFonts w:ascii="Verdana" w:hAnsi="Verdana"/>
        </w:rPr>
      </w:pPr>
      <w:r w:rsidRPr="00FB4B37">
        <w:rPr>
          <w:rFonts w:ascii="Verdana" w:hAnsi="Verdana"/>
        </w:rPr>
        <w:t>Directora General</w:t>
      </w:r>
    </w:p>
    <w:p w:rsidRPr="00FB4B37" w:rsidR="005A1C38" w:rsidP="00FB4B37" w:rsidRDefault="005A1C38" w14:paraId="348C1D41" w14:textId="77777777">
      <w:pPr>
        <w:jc w:val="center"/>
        <w:rPr>
          <w:rFonts w:ascii="Verdana" w:hAnsi="Verdana"/>
        </w:rPr>
      </w:pPr>
    </w:p>
    <w:sectPr w:rsidRPr="00FB4B37" w:rsidR="005A1C38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34"/>
    <w:rsid w:val="000256D8"/>
    <w:rsid w:val="000C71DA"/>
    <w:rsid w:val="004A2034"/>
    <w:rsid w:val="005A1C38"/>
    <w:rsid w:val="00FB4B37"/>
    <w:rsid w:val="3EE2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DE94"/>
  <w15:chartTrackingRefBased/>
  <w15:docId w15:val="{42DE55A5-3477-4E28-B4F9-534FBFD1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inespaciado">
    <w:name w:val="No Spacing"/>
    <w:uiPriority w:val="1"/>
    <w:qFormat/>
    <w:rsid w:val="00FB4B3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FB4B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4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32CCC1-226B-435B-A0E4-D92D94C29D91}"/>
</file>

<file path=customXml/itemProps2.xml><?xml version="1.0" encoding="utf-8"?>
<ds:datastoreItem xmlns:ds="http://schemas.openxmlformats.org/officeDocument/2006/customXml" ds:itemID="{85E7E262-1F96-4BE0-A2B6-EACC7A4C0002}"/>
</file>

<file path=customXml/itemProps3.xml><?xml version="1.0" encoding="utf-8"?>
<ds:datastoreItem xmlns:ds="http://schemas.openxmlformats.org/officeDocument/2006/customXml" ds:itemID="{EED45B7A-3372-4A1C-9253-47C824067B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3</cp:revision>
  <dcterms:created xsi:type="dcterms:W3CDTF">2026-01-27T15:14:00Z</dcterms:created>
  <dcterms:modified xsi:type="dcterms:W3CDTF">2026-06-12T17:12:40Z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