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1570" w14:textId="4B3CEDEF" w:rsidR="001131FC" w:rsidRPr="00EC7DFD" w:rsidRDefault="001131FC" w:rsidP="001131FC">
      <w:pPr>
        <w:jc w:val="center"/>
        <w:rPr>
          <w:rFonts w:ascii="Verdana" w:hAnsi="Verdana"/>
        </w:rPr>
      </w:pPr>
      <w:r w:rsidRPr="00EC7DFD">
        <w:rPr>
          <w:rFonts w:ascii="Verdana" w:hAnsi="Verdana"/>
          <w:b/>
          <w:bCs/>
        </w:rPr>
        <w:t xml:space="preserve">RESOLUCIÓN </w:t>
      </w:r>
      <w:r w:rsidR="00F96A89">
        <w:rPr>
          <w:rFonts w:ascii="Verdana" w:hAnsi="Verdana"/>
          <w:b/>
          <w:bCs/>
        </w:rPr>
        <w:t>108</w:t>
      </w:r>
      <w:r w:rsidRPr="00EC7DFD">
        <w:rPr>
          <w:rFonts w:ascii="Verdana" w:hAnsi="Verdana"/>
          <w:b/>
          <w:bCs/>
        </w:rPr>
        <w:t xml:space="preserve"> DE 202</w:t>
      </w:r>
      <w:r w:rsidR="00F96A89">
        <w:rPr>
          <w:rFonts w:ascii="Verdana" w:hAnsi="Verdana"/>
          <w:b/>
          <w:bCs/>
        </w:rPr>
        <w:t>6</w:t>
      </w:r>
    </w:p>
    <w:p w14:paraId="64053164" w14:textId="20E2F2C2" w:rsidR="001131FC" w:rsidRPr="006D5ECF" w:rsidRDefault="001131FC" w:rsidP="001131FC">
      <w:pPr>
        <w:rPr>
          <w:rFonts w:ascii="Verdana" w:hAnsi="Verdana"/>
          <w:sz w:val="20"/>
          <w:szCs w:val="20"/>
        </w:rPr>
      </w:pPr>
      <w:r w:rsidRPr="006D5ECF">
        <w:rPr>
          <w:rFonts w:ascii="Verdana" w:hAnsi="Verdana"/>
          <w:sz w:val="20"/>
          <w:szCs w:val="20"/>
        </w:rPr>
        <w:t xml:space="preserve">Fecha de Expedición: </w:t>
      </w:r>
      <w:r w:rsidR="00F96A89">
        <w:rPr>
          <w:rFonts w:ascii="Verdana" w:hAnsi="Verdana"/>
          <w:sz w:val="20"/>
          <w:szCs w:val="20"/>
        </w:rPr>
        <w:t>15 de enero de 2026</w:t>
      </w:r>
    </w:p>
    <w:p w14:paraId="3644C303" w14:textId="1BE0F0FF" w:rsidR="001131FC" w:rsidRPr="006D5ECF" w:rsidRDefault="001131FC" w:rsidP="001131FC">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F96A89">
        <w:rPr>
          <w:rFonts w:ascii="Verdana" w:hAnsi="Verdana"/>
          <w:sz w:val="20"/>
          <w:szCs w:val="20"/>
        </w:rPr>
        <w:t>15 de enero de 2026</w:t>
      </w:r>
    </w:p>
    <w:p w14:paraId="06FA2355" w14:textId="77777777" w:rsidR="001131FC" w:rsidRPr="006D5ECF" w:rsidRDefault="001131FC" w:rsidP="001131FC">
      <w:pPr>
        <w:rPr>
          <w:rFonts w:ascii="Verdana" w:hAnsi="Verdana"/>
          <w:sz w:val="20"/>
          <w:szCs w:val="20"/>
        </w:rPr>
      </w:pPr>
      <w:r w:rsidRPr="006D5ECF">
        <w:rPr>
          <w:rFonts w:ascii="Verdana" w:hAnsi="Verdana"/>
          <w:sz w:val="20"/>
          <w:szCs w:val="20"/>
        </w:rPr>
        <w:t xml:space="preserve">Estado de la vigencia: </w:t>
      </w:r>
      <w:r>
        <w:rPr>
          <w:rFonts w:ascii="Verdana" w:hAnsi="Verdana"/>
          <w:sz w:val="20"/>
          <w:szCs w:val="20"/>
        </w:rPr>
        <w:t>vigente</w:t>
      </w:r>
    </w:p>
    <w:p w14:paraId="452A342B" w14:textId="77777777" w:rsidR="001131FC" w:rsidRPr="001131FC" w:rsidRDefault="001131FC" w:rsidP="001131FC">
      <w:pPr>
        <w:rPr>
          <w:rFonts w:ascii="Verdana" w:hAnsi="Verdana"/>
          <w:sz w:val="16"/>
          <w:szCs w:val="16"/>
        </w:rPr>
      </w:pPr>
    </w:p>
    <w:p w14:paraId="7F20299D" w14:textId="77777777" w:rsidR="001131FC" w:rsidRPr="006D5ECF" w:rsidRDefault="001131FC" w:rsidP="001131FC">
      <w:pPr>
        <w:rPr>
          <w:rFonts w:ascii="Verdana" w:hAnsi="Verdana"/>
          <w:sz w:val="20"/>
          <w:szCs w:val="20"/>
        </w:rPr>
      </w:pPr>
      <w:r w:rsidRPr="006D5ECF">
        <w:rPr>
          <w:rFonts w:ascii="Verdana" w:hAnsi="Verdana"/>
          <w:sz w:val="20"/>
          <w:szCs w:val="20"/>
        </w:rPr>
        <w:t xml:space="preserve">Fecha de publicación en Diario Oficial: </w:t>
      </w:r>
      <w:r>
        <w:rPr>
          <w:rFonts w:ascii="Verdana" w:hAnsi="Verdana"/>
          <w:sz w:val="20"/>
          <w:szCs w:val="20"/>
        </w:rPr>
        <w:t>N/A</w:t>
      </w:r>
    </w:p>
    <w:p w14:paraId="0FE95DA1" w14:textId="77777777" w:rsidR="001131FC" w:rsidRPr="006D5ECF" w:rsidRDefault="001131FC" w:rsidP="001131FC">
      <w:pPr>
        <w:rPr>
          <w:rFonts w:ascii="Verdana" w:hAnsi="Verdana"/>
          <w:sz w:val="20"/>
          <w:szCs w:val="20"/>
        </w:rPr>
      </w:pPr>
      <w:r w:rsidRPr="006D5ECF">
        <w:rPr>
          <w:rFonts w:ascii="Verdana" w:hAnsi="Verdana"/>
          <w:sz w:val="20"/>
          <w:szCs w:val="20"/>
        </w:rPr>
        <w:t>Número del Diario Oficial: N</w:t>
      </w:r>
      <w:r>
        <w:rPr>
          <w:rFonts w:ascii="Verdana" w:hAnsi="Verdana"/>
          <w:sz w:val="20"/>
          <w:szCs w:val="20"/>
        </w:rPr>
        <w:t>/A</w:t>
      </w:r>
    </w:p>
    <w:p w14:paraId="3BD9B79E" w14:textId="77777777" w:rsidR="00F96A89" w:rsidRPr="00EC7DFD" w:rsidRDefault="00F96A89" w:rsidP="00F96A89">
      <w:pPr>
        <w:jc w:val="center"/>
        <w:rPr>
          <w:rFonts w:ascii="Verdana" w:hAnsi="Verdana"/>
        </w:rPr>
      </w:pPr>
      <w:r w:rsidRPr="00EC7DFD">
        <w:rPr>
          <w:rFonts w:ascii="Verdana" w:hAnsi="Verdana"/>
          <w:b/>
          <w:bCs/>
        </w:rPr>
        <w:t xml:space="preserve">RESOLUCIÓN </w:t>
      </w:r>
      <w:r>
        <w:rPr>
          <w:rFonts w:ascii="Verdana" w:hAnsi="Verdana"/>
          <w:b/>
          <w:bCs/>
        </w:rPr>
        <w:t>108</w:t>
      </w:r>
      <w:r w:rsidRPr="00EC7DFD">
        <w:rPr>
          <w:rFonts w:ascii="Verdana" w:hAnsi="Verdana"/>
          <w:b/>
          <w:bCs/>
        </w:rPr>
        <w:t xml:space="preserve"> DE 202</w:t>
      </w:r>
      <w:r>
        <w:rPr>
          <w:rFonts w:ascii="Verdana" w:hAnsi="Verdana"/>
          <w:b/>
          <w:bCs/>
        </w:rPr>
        <w:t>6</w:t>
      </w:r>
    </w:p>
    <w:p w14:paraId="79280B29" w14:textId="7FD3A8C4" w:rsidR="00F30159" w:rsidRPr="001131FC" w:rsidRDefault="00F30159" w:rsidP="00F30159">
      <w:pPr>
        <w:spacing w:line="240" w:lineRule="auto"/>
        <w:jc w:val="center"/>
        <w:rPr>
          <w:rFonts w:ascii="Verdana" w:hAnsi="Verdana" w:cs="Arial"/>
          <w:lang w:val="es-MX"/>
        </w:rPr>
      </w:pPr>
      <w:r w:rsidRPr="001131FC">
        <w:rPr>
          <w:rFonts w:ascii="Verdana" w:hAnsi="Verdana" w:cs="Arial"/>
          <w:lang w:val="es-MX"/>
        </w:rPr>
        <w:t>(</w:t>
      </w:r>
      <w:r w:rsidR="00F96A89">
        <w:rPr>
          <w:rFonts w:ascii="Verdana" w:hAnsi="Verdana" w:cs="Arial"/>
          <w:lang w:val="es-MX"/>
        </w:rPr>
        <w:t>15</w:t>
      </w:r>
      <w:r w:rsidRPr="001131FC">
        <w:rPr>
          <w:rFonts w:ascii="Verdana" w:hAnsi="Verdana" w:cs="Arial"/>
          <w:lang w:val="es-MX"/>
        </w:rPr>
        <w:t xml:space="preserve"> de enero de 202</w:t>
      </w:r>
      <w:r w:rsidR="00F96A89">
        <w:rPr>
          <w:rFonts w:ascii="Verdana" w:hAnsi="Verdana" w:cs="Arial"/>
          <w:lang w:val="es-MX"/>
        </w:rPr>
        <w:t>6</w:t>
      </w:r>
      <w:r w:rsidRPr="001131FC">
        <w:rPr>
          <w:rFonts w:ascii="Verdana" w:hAnsi="Verdana" w:cs="Arial"/>
          <w:lang w:val="es-MX"/>
        </w:rPr>
        <w:t>)</w:t>
      </w:r>
    </w:p>
    <w:p w14:paraId="5AE353C3" w14:textId="319226A2" w:rsidR="00F96A89" w:rsidRPr="00F96A89" w:rsidRDefault="00F96A89" w:rsidP="00F96A89">
      <w:pPr>
        <w:spacing w:line="240" w:lineRule="auto"/>
        <w:jc w:val="center"/>
        <w:rPr>
          <w:rFonts w:ascii="Verdana" w:hAnsi="Verdana" w:cs="Arial"/>
          <w:lang w:val="es-MX"/>
        </w:rPr>
      </w:pPr>
      <w:r w:rsidRPr="00F96A89">
        <w:rPr>
          <w:rFonts w:ascii="Verdana" w:hAnsi="Verdana" w:cs="Arial"/>
          <w:lang w:val="es-MX"/>
        </w:rPr>
        <w:t>“Por la cual se modifica parcialmente la Resolución No. 8292 del 31 de diciembre de</w:t>
      </w:r>
      <w:r>
        <w:rPr>
          <w:rFonts w:ascii="Verdana" w:hAnsi="Verdana" w:cs="Arial"/>
          <w:lang w:val="es-MX"/>
        </w:rPr>
        <w:t xml:space="preserve"> </w:t>
      </w:r>
    </w:p>
    <w:p w14:paraId="6CCD364C" w14:textId="77777777" w:rsidR="00F96A89" w:rsidRDefault="00F96A89" w:rsidP="00F96A89">
      <w:pPr>
        <w:spacing w:line="240" w:lineRule="auto"/>
        <w:jc w:val="center"/>
        <w:rPr>
          <w:rFonts w:ascii="Verdana" w:hAnsi="Verdana" w:cs="Arial"/>
          <w:lang w:val="es-MX"/>
        </w:rPr>
      </w:pPr>
      <w:r w:rsidRPr="00F96A89">
        <w:rPr>
          <w:rFonts w:ascii="Verdana" w:hAnsi="Verdana" w:cs="Arial"/>
          <w:lang w:val="es-MX"/>
        </w:rPr>
        <w:t>2025”</w:t>
      </w:r>
    </w:p>
    <w:p w14:paraId="329D5A08" w14:textId="77777777" w:rsidR="00F96A89" w:rsidRPr="00F96A89" w:rsidRDefault="00F96A89" w:rsidP="00F96A89">
      <w:pPr>
        <w:spacing w:line="240" w:lineRule="auto"/>
        <w:jc w:val="center"/>
        <w:rPr>
          <w:rFonts w:ascii="Verdana" w:hAnsi="Verdana" w:cs="Arial"/>
          <w:b/>
          <w:bCs/>
          <w:lang w:val="es-MX"/>
        </w:rPr>
      </w:pPr>
      <w:r w:rsidRPr="00F96A89">
        <w:rPr>
          <w:rFonts w:ascii="Verdana" w:hAnsi="Verdana" w:cs="Arial"/>
          <w:b/>
          <w:bCs/>
          <w:lang w:val="es-MX"/>
        </w:rPr>
        <w:t xml:space="preserve">A DIRECTORA GENERAL DEL INSTITUTO COLOMBIANO DE BIENESTAR </w:t>
      </w:r>
    </w:p>
    <w:p w14:paraId="1E02C5C7" w14:textId="5993C5CA" w:rsidR="00F96A89" w:rsidRDefault="00F96A89" w:rsidP="00F96A89">
      <w:pPr>
        <w:spacing w:line="240" w:lineRule="auto"/>
        <w:jc w:val="center"/>
        <w:rPr>
          <w:rFonts w:ascii="Verdana" w:hAnsi="Verdana" w:cs="Arial"/>
          <w:b/>
          <w:bCs/>
          <w:lang w:val="es-MX"/>
        </w:rPr>
      </w:pPr>
      <w:r w:rsidRPr="00F96A89">
        <w:rPr>
          <w:rFonts w:ascii="Verdana" w:hAnsi="Verdana" w:cs="Arial"/>
          <w:b/>
          <w:bCs/>
          <w:lang w:val="es-MX"/>
        </w:rPr>
        <w:t>FAMILIAR (ICBF) “CECILIA DE LA FUENTE DE LLERAS”</w:t>
      </w:r>
    </w:p>
    <w:p w14:paraId="48043590" w14:textId="3201BF24" w:rsidR="00F96A89" w:rsidRPr="00F96A89" w:rsidRDefault="00F96A89" w:rsidP="00F96A89">
      <w:pPr>
        <w:spacing w:line="240" w:lineRule="auto"/>
        <w:jc w:val="center"/>
        <w:rPr>
          <w:rFonts w:ascii="Verdana" w:hAnsi="Verdana" w:cs="Arial"/>
          <w:lang w:val="es-MX"/>
        </w:rPr>
      </w:pPr>
      <w:r w:rsidRPr="00F96A89">
        <w:rPr>
          <w:rFonts w:ascii="Verdana" w:hAnsi="Verdana" w:cs="Arial"/>
          <w:lang w:val="es-MX"/>
        </w:rPr>
        <w:t>En uso de sus facultades legales y estatutarias, en especial las conferidas en los</w:t>
      </w:r>
      <w:r>
        <w:rPr>
          <w:rFonts w:ascii="Verdana" w:hAnsi="Verdana" w:cs="Arial"/>
          <w:lang w:val="es-MX"/>
        </w:rPr>
        <w:t xml:space="preserve"> </w:t>
      </w:r>
      <w:r w:rsidRPr="00F96A89">
        <w:rPr>
          <w:rFonts w:ascii="Verdana" w:hAnsi="Verdana" w:cs="Arial"/>
          <w:lang w:val="es-MX"/>
        </w:rPr>
        <w:t>artículos 9, 10 y 12 de la Ley 489 de 1998, los artículos 209 y 211 de la Constitución</w:t>
      </w:r>
      <w:r>
        <w:rPr>
          <w:rFonts w:ascii="Verdana" w:hAnsi="Verdana" w:cs="Arial"/>
          <w:lang w:val="es-MX"/>
        </w:rPr>
        <w:t xml:space="preserve"> </w:t>
      </w:r>
      <w:r w:rsidRPr="00F96A89">
        <w:rPr>
          <w:rFonts w:ascii="Verdana" w:hAnsi="Verdana" w:cs="Arial"/>
          <w:lang w:val="es-MX"/>
        </w:rPr>
        <w:t>Política, el artículo 12 de la Ley 80 de 1993 modificado por la Ley 1150 de 2007, el</w:t>
      </w:r>
      <w:r>
        <w:rPr>
          <w:rFonts w:ascii="Verdana" w:hAnsi="Verdana" w:cs="Arial"/>
          <w:lang w:val="es-MX"/>
        </w:rPr>
        <w:t xml:space="preserve"> </w:t>
      </w:r>
      <w:r w:rsidRPr="00F96A89">
        <w:rPr>
          <w:rFonts w:ascii="Verdana" w:hAnsi="Verdana" w:cs="Arial"/>
          <w:lang w:val="es-MX"/>
        </w:rPr>
        <w:t>Código de Procedimiento Administrativo y de lo Contencioso Administrativo – Ley</w:t>
      </w:r>
      <w:r>
        <w:rPr>
          <w:rFonts w:ascii="Verdana" w:hAnsi="Verdana" w:cs="Arial"/>
          <w:lang w:val="es-MX"/>
        </w:rPr>
        <w:t xml:space="preserve"> </w:t>
      </w:r>
      <w:r w:rsidRPr="00F96A89">
        <w:rPr>
          <w:rFonts w:ascii="Verdana" w:hAnsi="Verdana" w:cs="Arial"/>
          <w:lang w:val="es-MX"/>
        </w:rPr>
        <w:t>1437 de 2011 – y demás normas concordantes, y</w:t>
      </w:r>
    </w:p>
    <w:p w14:paraId="3D09F9D5" w14:textId="5B7476EA" w:rsidR="004D7679" w:rsidRPr="001131FC" w:rsidRDefault="004D7679" w:rsidP="00F017C7">
      <w:pPr>
        <w:spacing w:line="240" w:lineRule="auto"/>
        <w:jc w:val="center"/>
        <w:rPr>
          <w:rFonts w:ascii="Verdana" w:hAnsi="Verdana" w:cs="Arial"/>
          <w:b/>
          <w:bCs/>
          <w:lang w:val="es-MX"/>
        </w:rPr>
      </w:pPr>
      <w:r w:rsidRPr="001131FC">
        <w:rPr>
          <w:rFonts w:ascii="Verdana" w:hAnsi="Verdana" w:cs="Arial"/>
          <w:b/>
          <w:bCs/>
          <w:lang w:val="es-MX"/>
        </w:rPr>
        <w:t>CONSIDERANDO</w:t>
      </w:r>
      <w:r w:rsidR="00AF16AC" w:rsidRPr="001131FC">
        <w:rPr>
          <w:rFonts w:ascii="Verdana" w:hAnsi="Verdana" w:cs="Arial"/>
          <w:b/>
          <w:bCs/>
          <w:lang w:val="es-MX"/>
        </w:rPr>
        <w:t>:</w:t>
      </w:r>
    </w:p>
    <w:p w14:paraId="26880A18" w14:textId="77777777" w:rsidR="00F96A89" w:rsidRDefault="00F96A89" w:rsidP="00833855">
      <w:pPr>
        <w:spacing w:after="0" w:line="240" w:lineRule="auto"/>
        <w:ind w:right="135"/>
        <w:jc w:val="both"/>
        <w:rPr>
          <w:rFonts w:ascii="Verdana" w:hAnsi="Verdana" w:cs="Arial"/>
        </w:rPr>
      </w:pPr>
    </w:p>
    <w:p w14:paraId="563C4410" w14:textId="30EFE1F1" w:rsidR="00F96A89" w:rsidRDefault="00F96A89" w:rsidP="00F96A89">
      <w:pPr>
        <w:spacing w:after="0" w:line="240" w:lineRule="auto"/>
        <w:ind w:right="135"/>
        <w:jc w:val="both"/>
        <w:rPr>
          <w:rFonts w:ascii="Verdana" w:hAnsi="Verdana" w:cs="Arial"/>
        </w:rPr>
      </w:pPr>
      <w:r w:rsidRPr="00F96A89">
        <w:rPr>
          <w:rFonts w:ascii="Verdana" w:hAnsi="Verdana" w:cs="Arial"/>
        </w:rPr>
        <w:t>Que, el artículo 209 de la Constitución Política establece que la función pública se desarrollará con fundamento en los principios de igualdad, moralidad, eficacia, economía, celeridad, imparcialidad y publicidad y que para su ejercicio se emplearán mecanismos de descentralización, delegación y desconcentración.</w:t>
      </w:r>
    </w:p>
    <w:p w14:paraId="3E8B24F4" w14:textId="77777777" w:rsidR="00F96A89" w:rsidRPr="00F96A89" w:rsidRDefault="00F96A89" w:rsidP="00F96A89">
      <w:pPr>
        <w:spacing w:after="0" w:line="240" w:lineRule="auto"/>
        <w:ind w:right="135"/>
        <w:jc w:val="both"/>
        <w:rPr>
          <w:rFonts w:ascii="Verdana" w:hAnsi="Verdana" w:cs="Arial"/>
        </w:rPr>
      </w:pPr>
    </w:p>
    <w:p w14:paraId="501EDF30" w14:textId="5039242B" w:rsidR="00F96A89" w:rsidRDefault="00F96A89" w:rsidP="00F96A89">
      <w:pPr>
        <w:spacing w:after="0" w:line="240" w:lineRule="auto"/>
        <w:ind w:right="135"/>
        <w:jc w:val="both"/>
        <w:rPr>
          <w:rFonts w:ascii="Verdana" w:hAnsi="Verdana" w:cs="Arial"/>
        </w:rPr>
      </w:pPr>
      <w:r w:rsidRPr="00F96A89">
        <w:rPr>
          <w:rFonts w:ascii="Verdana" w:hAnsi="Verdana" w:cs="Arial"/>
        </w:rPr>
        <w:t>Que, el artículo 211 de la Constitución Política autoriza a las autoridades administrativas para delegar en sus subalternos o en otras autoridades el ejercicio</w:t>
      </w:r>
      <w:r>
        <w:rPr>
          <w:rFonts w:ascii="Verdana" w:hAnsi="Verdana" w:cs="Arial"/>
        </w:rPr>
        <w:t xml:space="preserve"> </w:t>
      </w:r>
      <w:r w:rsidRPr="00F96A89">
        <w:rPr>
          <w:rFonts w:ascii="Verdana" w:hAnsi="Verdana" w:cs="Arial"/>
        </w:rPr>
        <w:t>de funciones y señala que el delegante podrá reasumir en cualquier tiempo la competencia.</w:t>
      </w:r>
    </w:p>
    <w:p w14:paraId="170FB255" w14:textId="77777777" w:rsidR="00F96A89" w:rsidRPr="00F96A89" w:rsidRDefault="00F96A89" w:rsidP="00F96A89">
      <w:pPr>
        <w:spacing w:after="0" w:line="240" w:lineRule="auto"/>
        <w:ind w:right="135"/>
        <w:jc w:val="both"/>
        <w:rPr>
          <w:rFonts w:ascii="Verdana" w:hAnsi="Verdana" w:cs="Arial"/>
        </w:rPr>
      </w:pPr>
    </w:p>
    <w:p w14:paraId="4B651E03" w14:textId="77777777" w:rsidR="00F96A89" w:rsidRPr="00F96A89" w:rsidRDefault="00F96A89" w:rsidP="00F96A89">
      <w:pPr>
        <w:spacing w:after="0" w:line="240" w:lineRule="auto"/>
        <w:ind w:right="135"/>
        <w:jc w:val="both"/>
        <w:rPr>
          <w:rFonts w:ascii="Verdana" w:hAnsi="Verdana" w:cs="Arial"/>
        </w:rPr>
      </w:pPr>
      <w:r w:rsidRPr="00F96A89">
        <w:rPr>
          <w:rFonts w:ascii="Verdana" w:hAnsi="Verdana" w:cs="Arial"/>
        </w:rPr>
        <w:t xml:space="preserve">Que, los artículos 9 y 10 de la Ley 489 de 1998 permiten a los representantes legales </w:t>
      </w:r>
    </w:p>
    <w:p w14:paraId="01446F3E" w14:textId="4102DE56" w:rsidR="00F96A89" w:rsidRDefault="00F96A89" w:rsidP="00F96A89">
      <w:pPr>
        <w:spacing w:after="0" w:line="240" w:lineRule="auto"/>
        <w:ind w:right="135"/>
        <w:jc w:val="both"/>
        <w:rPr>
          <w:rFonts w:ascii="Verdana" w:hAnsi="Verdana" w:cs="Arial"/>
        </w:rPr>
      </w:pPr>
      <w:r w:rsidRPr="00F96A89">
        <w:rPr>
          <w:rFonts w:ascii="Verdana" w:hAnsi="Verdana" w:cs="Arial"/>
        </w:rPr>
        <w:t xml:space="preserve">de las entidades descentralizadas transferir, mediante acto de delegación, el </w:t>
      </w:r>
      <w:proofErr w:type="gramStart"/>
      <w:r w:rsidRPr="00F96A89">
        <w:rPr>
          <w:rFonts w:ascii="Verdana" w:hAnsi="Verdana" w:cs="Arial"/>
        </w:rPr>
        <w:t xml:space="preserve">ejercicio </w:t>
      </w:r>
      <w:r>
        <w:rPr>
          <w:rFonts w:ascii="Verdana" w:hAnsi="Verdana" w:cs="Arial"/>
        </w:rPr>
        <w:t xml:space="preserve"> </w:t>
      </w:r>
      <w:r w:rsidRPr="00F96A89">
        <w:rPr>
          <w:rFonts w:ascii="Verdana" w:hAnsi="Verdana" w:cs="Arial"/>
        </w:rPr>
        <w:t>de</w:t>
      </w:r>
      <w:proofErr w:type="gramEnd"/>
      <w:r w:rsidRPr="00F96A89">
        <w:rPr>
          <w:rFonts w:ascii="Verdana" w:hAnsi="Verdana" w:cs="Arial"/>
        </w:rPr>
        <w:t xml:space="preserve"> funciones a sus colaboradores o a otras autoridades con funciones afines o complementarias, determinando la autoridad delegataria y las funciones </w:t>
      </w:r>
      <w:r w:rsidRPr="00F96A89">
        <w:rPr>
          <w:rFonts w:ascii="Verdana" w:hAnsi="Verdana" w:cs="Arial"/>
        </w:rPr>
        <w:lastRenderedPageBreak/>
        <w:t>específicas delegadas. La delegación debe constar por escrito y el delegante debe informarse en todo momento sobre su desarrollo.</w:t>
      </w:r>
    </w:p>
    <w:p w14:paraId="0E33EA1C" w14:textId="77777777" w:rsidR="00F96A89" w:rsidRPr="00F96A89" w:rsidRDefault="00F96A89" w:rsidP="00F96A89">
      <w:pPr>
        <w:spacing w:after="0" w:line="240" w:lineRule="auto"/>
        <w:ind w:right="135"/>
        <w:jc w:val="both"/>
        <w:rPr>
          <w:rFonts w:ascii="Verdana" w:hAnsi="Verdana" w:cs="Arial"/>
        </w:rPr>
      </w:pPr>
    </w:p>
    <w:p w14:paraId="4AA0A3B1" w14:textId="6A19CA6F" w:rsidR="00F96A89" w:rsidRDefault="00F96A89" w:rsidP="00F96A89">
      <w:pPr>
        <w:spacing w:after="0" w:line="240" w:lineRule="auto"/>
        <w:ind w:right="135"/>
        <w:jc w:val="both"/>
        <w:rPr>
          <w:rFonts w:ascii="Verdana" w:hAnsi="Verdana" w:cs="Arial"/>
        </w:rPr>
      </w:pPr>
      <w:r w:rsidRPr="00F96A89">
        <w:rPr>
          <w:rFonts w:ascii="Verdana" w:hAnsi="Verdana" w:cs="Arial"/>
        </w:rPr>
        <w:t>Que, el artículo 12 de la Ley 489 de 1998 dispone que los actos expedidos por el delegatario están sometidos a los mismos requisitos que los del delegante y serán susceptibles de los recursos procedentes; así mismo, la delegación exime de responsabilidad al delegante sin perjuicio de que éste pueda reasumir la competencia y revisar los actos expedidos por el delegatario en cualquier tiempo.</w:t>
      </w:r>
    </w:p>
    <w:p w14:paraId="64985729" w14:textId="77777777" w:rsidR="00F96A89" w:rsidRPr="00F96A89" w:rsidRDefault="00F96A89" w:rsidP="00F96A89">
      <w:pPr>
        <w:spacing w:after="0" w:line="240" w:lineRule="auto"/>
        <w:ind w:right="135"/>
        <w:jc w:val="both"/>
        <w:rPr>
          <w:rFonts w:ascii="Verdana" w:hAnsi="Verdana" w:cs="Arial"/>
        </w:rPr>
      </w:pPr>
    </w:p>
    <w:p w14:paraId="0C49B630" w14:textId="2FAD9294" w:rsidR="00F96A89" w:rsidRDefault="00F96A89" w:rsidP="00F96A89">
      <w:pPr>
        <w:spacing w:after="0" w:line="240" w:lineRule="auto"/>
        <w:ind w:right="135"/>
        <w:jc w:val="both"/>
        <w:rPr>
          <w:rFonts w:ascii="Verdana" w:hAnsi="Verdana" w:cs="Arial"/>
        </w:rPr>
      </w:pPr>
      <w:r w:rsidRPr="00F96A89">
        <w:rPr>
          <w:rFonts w:ascii="Verdana" w:hAnsi="Verdana" w:cs="Arial"/>
        </w:rPr>
        <w:t>Que, el artículo 12 de la Ley 80 de 1993, modificado por la Ley 1150 de 2007, autoriza a los jefes y representantes legales de las entidades estatales a delegar total o parcialmente la competencia para celebrar contratos y desconcentrar la realización de licitaciones en los servidores públicos que desempeñen cargos del nivel directivo o ejecutivo.</w:t>
      </w:r>
    </w:p>
    <w:p w14:paraId="294D17C3" w14:textId="77777777" w:rsidR="00F96A89" w:rsidRPr="00F96A89" w:rsidRDefault="00F96A89" w:rsidP="00F96A89">
      <w:pPr>
        <w:spacing w:after="0" w:line="240" w:lineRule="auto"/>
        <w:ind w:right="135"/>
        <w:jc w:val="both"/>
        <w:rPr>
          <w:rFonts w:ascii="Verdana" w:hAnsi="Verdana" w:cs="Arial"/>
        </w:rPr>
      </w:pPr>
    </w:p>
    <w:p w14:paraId="02DEF67B" w14:textId="77777777" w:rsidR="00F96A89" w:rsidRPr="00F96A89" w:rsidRDefault="00F96A89" w:rsidP="00F96A89">
      <w:pPr>
        <w:spacing w:after="0" w:line="240" w:lineRule="auto"/>
        <w:ind w:right="135"/>
        <w:jc w:val="both"/>
        <w:rPr>
          <w:rFonts w:ascii="Verdana" w:hAnsi="Verdana" w:cs="Arial"/>
        </w:rPr>
      </w:pPr>
      <w:r w:rsidRPr="00F96A89">
        <w:rPr>
          <w:rFonts w:ascii="Verdana" w:hAnsi="Verdana" w:cs="Arial"/>
        </w:rPr>
        <w:t xml:space="preserve">Que, el artículo 45 del Código de Procedimiento Administrativo y de lo Contencioso </w:t>
      </w:r>
    </w:p>
    <w:p w14:paraId="3EA27226" w14:textId="77777777" w:rsidR="00F96A89" w:rsidRPr="00F96A89" w:rsidRDefault="00F96A89" w:rsidP="00F96A89">
      <w:pPr>
        <w:spacing w:after="0" w:line="240" w:lineRule="auto"/>
        <w:ind w:right="135"/>
        <w:jc w:val="both"/>
        <w:rPr>
          <w:rFonts w:ascii="Verdana" w:hAnsi="Verdana" w:cs="Arial"/>
        </w:rPr>
      </w:pPr>
      <w:r w:rsidRPr="00F96A89">
        <w:rPr>
          <w:rFonts w:ascii="Verdana" w:hAnsi="Verdana" w:cs="Arial"/>
        </w:rPr>
        <w:t xml:space="preserve">Administrativo Ley 1437 de 2011, permite a la administración corregir en cualquier </w:t>
      </w:r>
    </w:p>
    <w:p w14:paraId="5A312F83" w14:textId="5D5B4640" w:rsidR="00F96A89" w:rsidRPr="00F96A89" w:rsidRDefault="00F96A89" w:rsidP="00F96A89">
      <w:pPr>
        <w:spacing w:after="0" w:line="240" w:lineRule="auto"/>
        <w:ind w:right="135"/>
        <w:jc w:val="both"/>
        <w:rPr>
          <w:rFonts w:ascii="Verdana" w:hAnsi="Verdana" w:cs="Arial"/>
        </w:rPr>
      </w:pPr>
      <w:r w:rsidRPr="00F96A89">
        <w:rPr>
          <w:rFonts w:ascii="Verdana" w:hAnsi="Verdana" w:cs="Arial"/>
        </w:rPr>
        <w:t xml:space="preserve">tiempo los errores simplemente formales contenidos en los actos administrativos, de oficio o a petición de parte, sin que la corrección dé lugar a cambios en el sentido </w:t>
      </w:r>
    </w:p>
    <w:p w14:paraId="2BF8A6DB" w14:textId="77777777" w:rsidR="00F96A89" w:rsidRPr="00F96A89" w:rsidRDefault="00F96A89" w:rsidP="00F96A89">
      <w:pPr>
        <w:spacing w:after="0" w:line="240" w:lineRule="auto"/>
        <w:ind w:right="135"/>
        <w:jc w:val="both"/>
        <w:rPr>
          <w:rFonts w:ascii="Verdana" w:hAnsi="Verdana" w:cs="Arial"/>
        </w:rPr>
      </w:pPr>
      <w:r w:rsidRPr="00F96A89">
        <w:rPr>
          <w:rFonts w:ascii="Verdana" w:hAnsi="Verdana" w:cs="Arial"/>
        </w:rPr>
        <w:t xml:space="preserve">material de la decisión. La jurisprudencia del Consejo de Estado ha señalado que la </w:t>
      </w:r>
    </w:p>
    <w:p w14:paraId="05E09325" w14:textId="11A2F4F9" w:rsidR="00F96A89" w:rsidRDefault="00F96A89" w:rsidP="00F96A89">
      <w:pPr>
        <w:spacing w:after="0" w:line="240" w:lineRule="auto"/>
        <w:ind w:right="135"/>
        <w:jc w:val="both"/>
        <w:rPr>
          <w:rFonts w:ascii="Verdana" w:hAnsi="Verdana" w:cs="Arial"/>
        </w:rPr>
      </w:pPr>
      <w:r w:rsidRPr="00F96A89">
        <w:rPr>
          <w:rFonts w:ascii="Verdana" w:hAnsi="Verdana" w:cs="Arial"/>
        </w:rPr>
        <w:t>derogatoria, modificación o subrogación de un acto administrativo no impide el control de legalidad de este, pero produce efectos hacia el futuro.</w:t>
      </w:r>
    </w:p>
    <w:p w14:paraId="1AE37902" w14:textId="77777777" w:rsidR="00F96A89" w:rsidRDefault="00F96A89" w:rsidP="00F96A89">
      <w:pPr>
        <w:spacing w:after="0" w:line="240" w:lineRule="auto"/>
        <w:ind w:right="135"/>
        <w:jc w:val="both"/>
        <w:rPr>
          <w:rFonts w:ascii="Verdana" w:hAnsi="Verdana" w:cs="Arial"/>
        </w:rPr>
      </w:pPr>
    </w:p>
    <w:p w14:paraId="33E45939" w14:textId="77777777" w:rsidR="00F96A89" w:rsidRDefault="00F96A89" w:rsidP="00F96A89">
      <w:pPr>
        <w:spacing w:after="0" w:line="240" w:lineRule="auto"/>
        <w:ind w:right="135"/>
        <w:jc w:val="both"/>
        <w:rPr>
          <w:rFonts w:ascii="Verdana" w:hAnsi="Verdana" w:cs="Arial"/>
        </w:rPr>
      </w:pPr>
    </w:p>
    <w:p w14:paraId="41D20CA4" w14:textId="77777777" w:rsidR="00F96A89" w:rsidRPr="00F96A89" w:rsidRDefault="00F96A89" w:rsidP="00F96A89">
      <w:pPr>
        <w:spacing w:after="0" w:line="240" w:lineRule="auto"/>
        <w:ind w:right="135"/>
        <w:jc w:val="both"/>
        <w:rPr>
          <w:rFonts w:ascii="Verdana" w:hAnsi="Verdana" w:cs="Arial"/>
        </w:rPr>
      </w:pPr>
      <w:r w:rsidRPr="00F96A89">
        <w:rPr>
          <w:rFonts w:ascii="Verdana" w:hAnsi="Verdana" w:cs="Arial"/>
        </w:rPr>
        <w:t xml:space="preserve">Que, mediante la Resolución 8292 del 31 de diciembre de 2025 la </w:t>
      </w:r>
      <w:proofErr w:type="gramStart"/>
      <w:r w:rsidRPr="00F96A89">
        <w:rPr>
          <w:rFonts w:ascii="Verdana" w:hAnsi="Verdana" w:cs="Arial"/>
        </w:rPr>
        <w:t>Directora General</w:t>
      </w:r>
      <w:proofErr w:type="gramEnd"/>
      <w:r w:rsidRPr="00F96A89">
        <w:rPr>
          <w:rFonts w:ascii="Verdana" w:hAnsi="Verdana" w:cs="Arial"/>
        </w:rPr>
        <w:t xml:space="preserve"> </w:t>
      </w:r>
    </w:p>
    <w:p w14:paraId="603B80A0" w14:textId="52E07597" w:rsidR="00F96A89" w:rsidRPr="00F96A89" w:rsidRDefault="00F96A89" w:rsidP="00F96A89">
      <w:pPr>
        <w:spacing w:after="0" w:line="240" w:lineRule="auto"/>
        <w:ind w:right="135"/>
        <w:jc w:val="both"/>
        <w:rPr>
          <w:rFonts w:ascii="Verdana" w:hAnsi="Verdana" w:cs="Arial"/>
        </w:rPr>
      </w:pPr>
      <w:r w:rsidRPr="00F96A89">
        <w:rPr>
          <w:rFonts w:ascii="Verdana" w:hAnsi="Verdana" w:cs="Arial"/>
        </w:rPr>
        <w:t>del Instituto Colombiano de Bienestar Familiar -ICBF- reasumió y delegó unas</w:t>
      </w:r>
      <w:r>
        <w:rPr>
          <w:rFonts w:ascii="Verdana" w:hAnsi="Verdana" w:cs="Arial"/>
        </w:rPr>
        <w:t xml:space="preserve"> </w:t>
      </w:r>
      <w:r w:rsidRPr="00F96A89">
        <w:rPr>
          <w:rFonts w:ascii="Verdana" w:hAnsi="Verdana" w:cs="Arial"/>
        </w:rPr>
        <w:t>facultades en el marco de la gestión contractual de los contratos de aporte destinados</w:t>
      </w:r>
      <w:r>
        <w:rPr>
          <w:rFonts w:ascii="Verdana" w:hAnsi="Verdana" w:cs="Arial"/>
        </w:rPr>
        <w:t xml:space="preserve"> </w:t>
      </w:r>
      <w:r w:rsidRPr="00F96A89">
        <w:rPr>
          <w:rFonts w:ascii="Verdana" w:hAnsi="Verdana" w:cs="Arial"/>
        </w:rPr>
        <w:t xml:space="preserve">a complementar la atención de niños, niñas, adolescentes, jóvenes y familias a través de la entrega de alimentos. En el artículo 1 de dicha resolución se </w:t>
      </w:r>
      <w:proofErr w:type="gramStart"/>
      <w:r w:rsidRPr="00F96A89">
        <w:rPr>
          <w:rFonts w:ascii="Verdana" w:hAnsi="Verdana" w:cs="Arial"/>
        </w:rPr>
        <w:t xml:space="preserve">reasumió </w:t>
      </w:r>
      <w:r>
        <w:rPr>
          <w:rFonts w:ascii="Verdana" w:hAnsi="Verdana" w:cs="Arial"/>
        </w:rPr>
        <w:t xml:space="preserve"> </w:t>
      </w:r>
      <w:r w:rsidRPr="00F96A89">
        <w:rPr>
          <w:rFonts w:ascii="Verdana" w:hAnsi="Verdana" w:cs="Arial"/>
        </w:rPr>
        <w:t>parcialmente</w:t>
      </w:r>
      <w:proofErr w:type="gramEnd"/>
      <w:r w:rsidRPr="00F96A89">
        <w:rPr>
          <w:rFonts w:ascii="Verdana" w:hAnsi="Verdana" w:cs="Arial"/>
        </w:rPr>
        <w:t xml:space="preserve"> la facultad para dirigir y adelantar la etapa precontractual y la suscripción de los contratos de aporte destinados a “complementar la atención de </w:t>
      </w:r>
    </w:p>
    <w:p w14:paraId="589BAE98" w14:textId="65C25430" w:rsidR="00F96A89" w:rsidRDefault="00F96A89" w:rsidP="00F96A89">
      <w:pPr>
        <w:spacing w:after="0" w:line="240" w:lineRule="auto"/>
        <w:ind w:right="135"/>
        <w:jc w:val="both"/>
        <w:rPr>
          <w:rFonts w:ascii="Verdana" w:hAnsi="Verdana" w:cs="Arial"/>
        </w:rPr>
      </w:pPr>
      <w:r w:rsidRPr="00F96A89">
        <w:rPr>
          <w:rFonts w:ascii="Verdana" w:hAnsi="Verdana" w:cs="Arial"/>
        </w:rPr>
        <w:t>niños, niñas, adolescentes, jóvenes y familias a través de la entrega de alimentos”.</w:t>
      </w:r>
    </w:p>
    <w:p w14:paraId="13A996DC" w14:textId="77777777" w:rsidR="00F96A89" w:rsidRDefault="00F96A89" w:rsidP="00F96A89">
      <w:pPr>
        <w:spacing w:after="0" w:line="240" w:lineRule="auto"/>
        <w:ind w:right="135"/>
        <w:jc w:val="both"/>
        <w:rPr>
          <w:rFonts w:ascii="Verdana" w:hAnsi="Verdana" w:cs="Arial"/>
        </w:rPr>
      </w:pPr>
    </w:p>
    <w:p w14:paraId="2C6D72F1" w14:textId="22D1DDF1" w:rsidR="00F96A89" w:rsidRPr="00F96A89" w:rsidRDefault="00F96A89" w:rsidP="00F96A89">
      <w:pPr>
        <w:spacing w:after="0" w:line="240" w:lineRule="auto"/>
        <w:ind w:right="135"/>
        <w:jc w:val="both"/>
        <w:rPr>
          <w:rFonts w:ascii="Verdana" w:hAnsi="Verdana" w:cs="Arial"/>
        </w:rPr>
      </w:pPr>
      <w:r w:rsidRPr="00F96A89">
        <w:rPr>
          <w:rFonts w:ascii="Verdana" w:hAnsi="Verdana" w:cs="Arial"/>
        </w:rPr>
        <w:t xml:space="preserve">Que, el artículo 2 de la misma resolución delegó, de manera parcial y transitoria hasta el 31 de enero de 2026, la competencia en ordenación del gasto en materia precontractual y contractual, reasumida por la </w:t>
      </w:r>
      <w:proofErr w:type="gramStart"/>
      <w:r w:rsidRPr="00F96A89">
        <w:rPr>
          <w:rFonts w:ascii="Verdana" w:hAnsi="Verdana" w:cs="Arial"/>
        </w:rPr>
        <w:t>Directora General</w:t>
      </w:r>
      <w:proofErr w:type="gramEnd"/>
      <w:r w:rsidRPr="00F96A89">
        <w:rPr>
          <w:rFonts w:ascii="Verdana" w:hAnsi="Verdana" w:cs="Arial"/>
        </w:rPr>
        <w:t xml:space="preserve">, en la Dirección de </w:t>
      </w:r>
    </w:p>
    <w:p w14:paraId="5AF4B597" w14:textId="6973BA06" w:rsidR="00F96A89" w:rsidRPr="00F96A89" w:rsidRDefault="00F96A89" w:rsidP="00F96A89">
      <w:pPr>
        <w:spacing w:after="0" w:line="240" w:lineRule="auto"/>
        <w:ind w:right="135"/>
        <w:jc w:val="both"/>
        <w:rPr>
          <w:rFonts w:ascii="Verdana" w:hAnsi="Verdana" w:cs="Arial"/>
        </w:rPr>
      </w:pPr>
      <w:r w:rsidRPr="00F96A89">
        <w:rPr>
          <w:rFonts w:ascii="Verdana" w:hAnsi="Verdana" w:cs="Arial"/>
        </w:rPr>
        <w:t xml:space="preserve">Primera Infancia para las actuaciones contractuales destinadas a complementar la atención integral a la primera infancia y en la Dirección de Nutrición para las actuaciones contractuales encaminadas a complementar la atención de niños, niñas, </w:t>
      </w:r>
    </w:p>
    <w:p w14:paraId="78E74761" w14:textId="77777777" w:rsidR="00F96A89" w:rsidRDefault="00F96A89" w:rsidP="00F96A89">
      <w:pPr>
        <w:spacing w:after="0" w:line="240" w:lineRule="auto"/>
        <w:ind w:right="135"/>
        <w:jc w:val="both"/>
        <w:rPr>
          <w:rFonts w:ascii="Verdana" w:hAnsi="Verdana" w:cs="Arial"/>
        </w:rPr>
      </w:pPr>
      <w:r w:rsidRPr="00F96A89">
        <w:rPr>
          <w:rFonts w:ascii="Verdana" w:hAnsi="Verdana" w:cs="Arial"/>
        </w:rPr>
        <w:t>adolescentes, jóvenes y familias.</w:t>
      </w:r>
    </w:p>
    <w:p w14:paraId="015B7AB3" w14:textId="77777777" w:rsidR="00F96A89" w:rsidRPr="00F96A89" w:rsidRDefault="00F96A89" w:rsidP="00F96A89">
      <w:pPr>
        <w:spacing w:after="0" w:line="240" w:lineRule="auto"/>
        <w:ind w:right="135"/>
        <w:jc w:val="both"/>
        <w:rPr>
          <w:rFonts w:ascii="Verdana" w:hAnsi="Verdana" w:cs="Arial"/>
        </w:rPr>
      </w:pPr>
    </w:p>
    <w:p w14:paraId="5BAA5929" w14:textId="77777777" w:rsidR="00F96A89" w:rsidRPr="00F96A89" w:rsidRDefault="00F96A89" w:rsidP="00F96A89">
      <w:pPr>
        <w:spacing w:after="0" w:line="240" w:lineRule="auto"/>
        <w:ind w:right="135"/>
        <w:jc w:val="both"/>
        <w:rPr>
          <w:rFonts w:ascii="Verdana" w:hAnsi="Verdana" w:cs="Arial"/>
        </w:rPr>
      </w:pPr>
      <w:r w:rsidRPr="00F96A89">
        <w:rPr>
          <w:rFonts w:ascii="Verdana" w:hAnsi="Verdana" w:cs="Arial"/>
        </w:rPr>
        <w:t xml:space="preserve">Que, el Decreto 1430 de 2025, en su artículo 32, asigna a la Dirección de Nutrición </w:t>
      </w:r>
    </w:p>
    <w:p w14:paraId="49ADE6D3" w14:textId="16821646" w:rsidR="00F96A89" w:rsidRDefault="00F96A89" w:rsidP="00F96A89">
      <w:pPr>
        <w:spacing w:after="0" w:line="240" w:lineRule="auto"/>
        <w:ind w:right="135"/>
        <w:jc w:val="both"/>
        <w:rPr>
          <w:rFonts w:ascii="Verdana" w:hAnsi="Verdana" w:cs="Arial"/>
        </w:rPr>
      </w:pPr>
      <w:r w:rsidRPr="00F96A89">
        <w:rPr>
          <w:rFonts w:ascii="Verdana" w:hAnsi="Verdana" w:cs="Arial"/>
        </w:rPr>
        <w:t xml:space="preserve">un rol transversal en el Instituto, otorgándole competencia para coordinar y participar en el diseño, implementación y seguimiento de políticas y proyectos relacionados con el derecho humano a la alimentación y la soberanía alimentaria. Estas funciones hacen necesario armonizar las delegaciones efectuadas en la </w:t>
      </w:r>
      <w:r w:rsidRPr="00F96A89">
        <w:rPr>
          <w:rFonts w:ascii="Verdana" w:hAnsi="Verdana" w:cs="Arial"/>
        </w:rPr>
        <w:lastRenderedPageBreak/>
        <w:t>Resolución 8292 de 2025 cuando un contrato de aporte involucra simultáneamente la atención integral a la primera infancia y la atención de niños, niñas, adolescentes, jóvenes y familias.</w:t>
      </w:r>
    </w:p>
    <w:p w14:paraId="034E5545" w14:textId="77777777" w:rsidR="00F96A89" w:rsidRPr="00F96A89" w:rsidRDefault="00F96A89" w:rsidP="00F96A89">
      <w:pPr>
        <w:spacing w:after="0" w:line="240" w:lineRule="auto"/>
        <w:ind w:right="135"/>
        <w:jc w:val="both"/>
        <w:rPr>
          <w:rFonts w:ascii="Verdana" w:hAnsi="Verdana" w:cs="Arial"/>
        </w:rPr>
      </w:pPr>
    </w:p>
    <w:p w14:paraId="2F7D0824" w14:textId="77777777" w:rsidR="00F96A89" w:rsidRPr="00F96A89" w:rsidRDefault="00F96A89" w:rsidP="00F96A89">
      <w:pPr>
        <w:spacing w:after="0" w:line="240" w:lineRule="auto"/>
        <w:ind w:right="135"/>
        <w:jc w:val="both"/>
        <w:rPr>
          <w:rFonts w:ascii="Verdana" w:hAnsi="Verdana" w:cs="Arial"/>
        </w:rPr>
      </w:pPr>
      <w:r w:rsidRPr="00F96A89">
        <w:rPr>
          <w:rFonts w:ascii="Verdana" w:hAnsi="Verdana" w:cs="Arial"/>
        </w:rPr>
        <w:t xml:space="preserve">Que, de conformidad con el artículo 12 de la Ley 489 de 1998, la </w:t>
      </w:r>
      <w:proofErr w:type="gramStart"/>
      <w:r w:rsidRPr="00F96A89">
        <w:rPr>
          <w:rFonts w:ascii="Verdana" w:hAnsi="Verdana" w:cs="Arial"/>
        </w:rPr>
        <w:t>Directora General</w:t>
      </w:r>
      <w:proofErr w:type="gramEnd"/>
      <w:r w:rsidRPr="00F96A89">
        <w:rPr>
          <w:rFonts w:ascii="Verdana" w:hAnsi="Verdana" w:cs="Arial"/>
        </w:rPr>
        <w:t xml:space="preserve"> </w:t>
      </w:r>
    </w:p>
    <w:p w14:paraId="3C2CC210" w14:textId="18B548B1" w:rsidR="00F96A89" w:rsidRDefault="00F96A89" w:rsidP="00F96A89">
      <w:pPr>
        <w:spacing w:after="0" w:line="240" w:lineRule="auto"/>
        <w:ind w:right="135"/>
        <w:jc w:val="both"/>
        <w:rPr>
          <w:rFonts w:ascii="Verdana" w:hAnsi="Verdana" w:cs="Arial"/>
        </w:rPr>
      </w:pPr>
      <w:r w:rsidRPr="00F96A89">
        <w:rPr>
          <w:rFonts w:ascii="Verdana" w:hAnsi="Verdana" w:cs="Arial"/>
        </w:rPr>
        <w:t xml:space="preserve">puede </w:t>
      </w:r>
      <w:proofErr w:type="spellStart"/>
      <w:r w:rsidRPr="00F96A89">
        <w:rPr>
          <w:rFonts w:ascii="Verdana" w:hAnsi="Verdana" w:cs="Arial"/>
        </w:rPr>
        <w:t>reasumir</w:t>
      </w:r>
      <w:proofErr w:type="spellEnd"/>
      <w:r w:rsidRPr="00F96A89">
        <w:rPr>
          <w:rFonts w:ascii="Verdana" w:hAnsi="Verdana" w:cs="Arial"/>
        </w:rPr>
        <w:t xml:space="preserve"> en cualquier momento las competencias delegadas y modificar los actos administrativos relacionados con la delegación, por lo que se hace necesario ajustar parcialmente la Resolución 8292 de 2025 para precisar la autoridad responsable de la ordenación del gasto en los contratos que abarquen ambas poblaciones.</w:t>
      </w:r>
    </w:p>
    <w:p w14:paraId="3962A49F" w14:textId="77777777" w:rsidR="00F96A89" w:rsidRDefault="00F96A89" w:rsidP="00833855">
      <w:pPr>
        <w:spacing w:after="0" w:line="240" w:lineRule="auto"/>
        <w:ind w:right="135"/>
        <w:jc w:val="both"/>
        <w:rPr>
          <w:rFonts w:ascii="Verdana" w:hAnsi="Verdana" w:cs="Arial"/>
        </w:rPr>
      </w:pPr>
    </w:p>
    <w:p w14:paraId="731354BD" w14:textId="4241227D" w:rsidR="00F12139" w:rsidRPr="001131FC" w:rsidRDefault="00F12139" w:rsidP="00153C68">
      <w:pPr>
        <w:pStyle w:val="Textoindependiente"/>
        <w:spacing w:before="200"/>
        <w:ind w:right="125"/>
        <w:jc w:val="both"/>
        <w:rPr>
          <w:sz w:val="24"/>
          <w:szCs w:val="24"/>
          <w:lang w:val="es-MX"/>
        </w:rPr>
      </w:pPr>
      <w:r w:rsidRPr="001131FC">
        <w:rPr>
          <w:rFonts w:ascii="Verdana" w:hAnsi="Verdana"/>
          <w:lang w:val="es-MX"/>
        </w:rPr>
        <w:t xml:space="preserve">En </w:t>
      </w:r>
      <w:r w:rsidR="00A16DDB" w:rsidRPr="001131FC">
        <w:rPr>
          <w:rFonts w:ascii="Verdana" w:hAnsi="Verdana"/>
          <w:lang w:val="es-MX"/>
        </w:rPr>
        <w:t>mérito</w:t>
      </w:r>
      <w:r w:rsidRPr="001131FC">
        <w:rPr>
          <w:rFonts w:ascii="Verdana" w:hAnsi="Verdana"/>
          <w:lang w:val="es-MX"/>
        </w:rPr>
        <w:t xml:space="preserve"> de lo expuesto,</w:t>
      </w:r>
      <w:r w:rsidRPr="001131FC">
        <w:rPr>
          <w:sz w:val="24"/>
          <w:szCs w:val="24"/>
          <w:lang w:val="es-MX"/>
        </w:rPr>
        <w:t xml:space="preserve"> </w:t>
      </w:r>
    </w:p>
    <w:p w14:paraId="47A6C4E1" w14:textId="77777777" w:rsidR="00F12139" w:rsidRPr="001131FC" w:rsidRDefault="00F12139" w:rsidP="00833855">
      <w:pPr>
        <w:spacing w:line="240" w:lineRule="auto"/>
        <w:jc w:val="center"/>
        <w:rPr>
          <w:rFonts w:ascii="Verdana" w:hAnsi="Verdana" w:cs="Arial"/>
          <w:b/>
          <w:bCs/>
          <w:lang w:val="es-MX"/>
        </w:rPr>
      </w:pPr>
      <w:r w:rsidRPr="001131FC">
        <w:rPr>
          <w:rFonts w:ascii="Verdana" w:hAnsi="Verdana" w:cs="Arial"/>
          <w:b/>
          <w:bCs/>
          <w:lang w:val="es-MX"/>
        </w:rPr>
        <w:t>RESUELVE</w:t>
      </w:r>
      <w:r w:rsidR="00833855" w:rsidRPr="001131FC">
        <w:rPr>
          <w:rFonts w:ascii="Verdana" w:hAnsi="Verdana" w:cs="Arial"/>
          <w:b/>
          <w:bCs/>
          <w:lang w:val="es-MX"/>
        </w:rPr>
        <w:t>:</w:t>
      </w:r>
    </w:p>
    <w:p w14:paraId="2C8E3EB0" w14:textId="33108392" w:rsidR="00F96A89" w:rsidRPr="00F96A89" w:rsidRDefault="00F96A89" w:rsidP="00F96A89">
      <w:pPr>
        <w:spacing w:line="240" w:lineRule="auto"/>
        <w:jc w:val="both"/>
        <w:rPr>
          <w:rFonts w:ascii="Verdana" w:hAnsi="Verdana" w:cs="Arial"/>
          <w:lang w:val="es-MX"/>
        </w:rPr>
      </w:pPr>
      <w:r w:rsidRPr="00F96A89">
        <w:rPr>
          <w:rFonts w:ascii="Verdana" w:hAnsi="Verdana" w:cs="Arial"/>
          <w:b/>
          <w:bCs/>
          <w:lang w:val="es-MX"/>
        </w:rPr>
        <w:t>ARTÍCULO 1°.</w:t>
      </w:r>
      <w:r w:rsidRPr="00F96A89">
        <w:rPr>
          <w:rFonts w:ascii="Verdana" w:hAnsi="Verdana" w:cs="Arial"/>
          <w:lang w:val="es-MX"/>
        </w:rPr>
        <w:t xml:space="preserve"> Modificar parcialmente el artículo 2 de la Resolución 8292 del 31 de diciembre de 2025, en el sentido de adicionar un nuevo parágrafo, así:</w:t>
      </w:r>
    </w:p>
    <w:p w14:paraId="42B67A6D" w14:textId="1E3CBE59" w:rsidR="00F96A89" w:rsidRDefault="00F96A89" w:rsidP="00F96A89">
      <w:pPr>
        <w:spacing w:line="240" w:lineRule="auto"/>
        <w:jc w:val="both"/>
        <w:rPr>
          <w:rFonts w:ascii="Verdana" w:hAnsi="Verdana" w:cs="Arial"/>
          <w:lang w:val="es-MX"/>
        </w:rPr>
      </w:pPr>
      <w:r w:rsidRPr="00F96A89">
        <w:rPr>
          <w:rFonts w:ascii="Verdana" w:hAnsi="Verdana" w:cs="Arial"/>
          <w:lang w:val="es-MX"/>
        </w:rPr>
        <w:t>“</w:t>
      </w:r>
      <w:r w:rsidRPr="00F96A89">
        <w:rPr>
          <w:rFonts w:ascii="Verdana" w:hAnsi="Verdana" w:cs="Arial"/>
          <w:b/>
          <w:bCs/>
          <w:lang w:val="es-MX"/>
        </w:rPr>
        <w:t xml:space="preserve">PARÁGRAFO 2°. </w:t>
      </w:r>
      <w:r w:rsidRPr="00F96A89">
        <w:rPr>
          <w:rFonts w:ascii="Verdana" w:hAnsi="Verdana" w:cs="Arial"/>
          <w:lang w:val="es-MX"/>
        </w:rPr>
        <w:t>Cuando el contrato de aporte respectivo incluya de manera conjunta actividades para complementar la atención integral a la primera infancia y para complementar la atención de niños, niñas, adolescentes, jóvenes y familias, la ordenación del gasto, en la etapa precontractual y contractual, será asumida por la Dirección de Nutrición, quien actuará en coordinación con la Dirección de Primera Infancia y las demás direcciones misionales según corresponda.”</w:t>
      </w:r>
    </w:p>
    <w:p w14:paraId="2B91CB7B" w14:textId="6D39CF39" w:rsidR="00F96A89" w:rsidRDefault="00F96A89" w:rsidP="00F96A89">
      <w:pPr>
        <w:spacing w:line="240" w:lineRule="auto"/>
        <w:jc w:val="both"/>
        <w:rPr>
          <w:rFonts w:ascii="Verdana" w:hAnsi="Verdana" w:cs="Arial"/>
          <w:lang w:val="es-MX"/>
        </w:rPr>
      </w:pPr>
      <w:r w:rsidRPr="00F96A89">
        <w:rPr>
          <w:rFonts w:ascii="Verdana" w:hAnsi="Verdana" w:cs="Arial"/>
          <w:b/>
          <w:bCs/>
          <w:lang w:val="es-MX"/>
        </w:rPr>
        <w:t>ARTÍCULO 2°.</w:t>
      </w:r>
      <w:r w:rsidRPr="00F96A89">
        <w:rPr>
          <w:rFonts w:ascii="Verdana" w:hAnsi="Verdana" w:cs="Arial"/>
          <w:lang w:val="es-MX"/>
        </w:rPr>
        <w:t xml:space="preserve"> Las demás disposiciones de la Resolución 8292 del 31 de diciembre de 2025 permanecen vigentes y se aplicarán en todo aquello que no haya sido expresamente modificado por la presente resolución.</w:t>
      </w:r>
    </w:p>
    <w:p w14:paraId="4911CF9A" w14:textId="62818917" w:rsidR="00F96A89" w:rsidRPr="00F96A89" w:rsidRDefault="00F96A89" w:rsidP="00F96A89">
      <w:pPr>
        <w:spacing w:line="240" w:lineRule="auto"/>
        <w:jc w:val="both"/>
        <w:rPr>
          <w:rFonts w:ascii="Verdana" w:hAnsi="Verdana" w:cs="Arial"/>
          <w:lang w:val="es-MX"/>
        </w:rPr>
      </w:pPr>
      <w:r w:rsidRPr="00F96A89">
        <w:rPr>
          <w:rFonts w:ascii="Verdana" w:hAnsi="Verdana" w:cs="Arial"/>
          <w:b/>
          <w:bCs/>
          <w:lang w:val="es-MX"/>
        </w:rPr>
        <w:t>ARTÍCULO 3°.</w:t>
      </w:r>
      <w:r w:rsidRPr="00F96A89">
        <w:rPr>
          <w:rFonts w:ascii="Verdana" w:hAnsi="Verdana" w:cs="Arial"/>
          <w:lang w:val="es-MX"/>
        </w:rPr>
        <w:t xml:space="preserve"> Publicar el presente acto administrativo en la página web del ICBF</w:t>
      </w:r>
      <w:r>
        <w:rPr>
          <w:rFonts w:ascii="Verdana" w:hAnsi="Verdana" w:cs="Arial"/>
          <w:lang w:val="es-MX"/>
        </w:rPr>
        <w:t xml:space="preserve"> </w:t>
      </w:r>
      <w:r w:rsidRPr="00F96A89">
        <w:rPr>
          <w:rFonts w:ascii="Verdana" w:hAnsi="Verdana" w:cs="Arial"/>
          <w:lang w:val="es-MX"/>
        </w:rPr>
        <w:t>https://www.icbf.gov.co.</w:t>
      </w:r>
    </w:p>
    <w:p w14:paraId="44EC3165" w14:textId="1E752A73" w:rsidR="00F96A89" w:rsidRDefault="00F96A89" w:rsidP="00F96A89">
      <w:pPr>
        <w:spacing w:line="240" w:lineRule="auto"/>
        <w:jc w:val="both"/>
        <w:rPr>
          <w:rFonts w:ascii="Verdana" w:hAnsi="Verdana" w:cs="Arial"/>
          <w:lang w:val="es-MX"/>
        </w:rPr>
      </w:pPr>
      <w:r w:rsidRPr="00F96A89">
        <w:rPr>
          <w:rFonts w:ascii="Verdana" w:hAnsi="Verdana" w:cs="Arial"/>
          <w:b/>
          <w:bCs/>
          <w:lang w:val="es-MX"/>
        </w:rPr>
        <w:t>ARTÍCULO 4°.</w:t>
      </w:r>
      <w:r w:rsidRPr="00F96A89">
        <w:rPr>
          <w:rFonts w:ascii="Verdana" w:hAnsi="Verdana" w:cs="Arial"/>
          <w:lang w:val="es-MX"/>
        </w:rPr>
        <w:t xml:space="preserve"> La presente resolución rige a partir de su publicación y modifica en lo pertinente la Resolución 8292 del 31 de diciembre de 2025.</w:t>
      </w:r>
    </w:p>
    <w:p w14:paraId="26705C49" w14:textId="77777777" w:rsidR="00F96A89" w:rsidRPr="00F96A89" w:rsidRDefault="00F96A89" w:rsidP="00F96A89">
      <w:pPr>
        <w:spacing w:line="240" w:lineRule="auto"/>
        <w:jc w:val="both"/>
        <w:rPr>
          <w:rFonts w:ascii="Verdana" w:hAnsi="Verdana" w:cs="Arial"/>
          <w:lang w:val="es-MX"/>
        </w:rPr>
      </w:pPr>
    </w:p>
    <w:p w14:paraId="660CE24B" w14:textId="342FC93B" w:rsidR="00F96A89" w:rsidRDefault="00F96A89" w:rsidP="00F96A89">
      <w:pPr>
        <w:spacing w:line="240" w:lineRule="auto"/>
        <w:jc w:val="center"/>
        <w:rPr>
          <w:rFonts w:ascii="Verdana" w:hAnsi="Verdana" w:cs="Arial"/>
          <w:b/>
          <w:bCs/>
          <w:lang w:val="es-MX"/>
        </w:rPr>
      </w:pPr>
      <w:r w:rsidRPr="00F96A89">
        <w:rPr>
          <w:rFonts w:ascii="Verdana" w:hAnsi="Verdana" w:cs="Arial"/>
          <w:b/>
          <w:bCs/>
          <w:lang w:val="es-MX"/>
        </w:rPr>
        <w:t>PUBLÍQUESE, COMUNÍQUESE Y CÚMPLASE</w:t>
      </w:r>
    </w:p>
    <w:p w14:paraId="40CDF9DF" w14:textId="77777777" w:rsidR="00F96A89" w:rsidRPr="00F96A89" w:rsidRDefault="00F96A89" w:rsidP="00F96A89">
      <w:pPr>
        <w:spacing w:line="240" w:lineRule="auto"/>
        <w:jc w:val="center"/>
        <w:rPr>
          <w:rFonts w:ascii="Verdana" w:hAnsi="Verdana" w:cs="Arial"/>
          <w:b/>
          <w:bCs/>
          <w:lang w:val="es-MX"/>
        </w:rPr>
      </w:pPr>
    </w:p>
    <w:p w14:paraId="3D96F091" w14:textId="7DB2781A" w:rsidR="00FD4D8E" w:rsidRPr="001131FC" w:rsidRDefault="00FD4D8E" w:rsidP="00F017C7">
      <w:pPr>
        <w:spacing w:line="240" w:lineRule="auto"/>
        <w:jc w:val="center"/>
        <w:rPr>
          <w:rFonts w:ascii="Verdana" w:hAnsi="Verdana" w:cs="Arial"/>
          <w:b/>
          <w:bCs/>
          <w:lang w:val="es-MX"/>
        </w:rPr>
      </w:pPr>
      <w:r w:rsidRPr="001131FC">
        <w:rPr>
          <w:rFonts w:ascii="Verdana" w:hAnsi="Verdana" w:cs="Arial"/>
          <w:b/>
          <w:bCs/>
          <w:lang w:val="es-MX"/>
        </w:rPr>
        <w:t>COMUNÍQUESE Y CÚMPLASE</w:t>
      </w:r>
    </w:p>
    <w:p w14:paraId="6297C9C2" w14:textId="647BA797" w:rsidR="00FD4D8E" w:rsidRPr="001131FC" w:rsidRDefault="00FD4D8E" w:rsidP="00F017C7">
      <w:pPr>
        <w:spacing w:line="240" w:lineRule="auto"/>
        <w:jc w:val="center"/>
        <w:rPr>
          <w:rFonts w:ascii="Verdana" w:hAnsi="Verdana" w:cs="Arial"/>
          <w:lang w:val="es-CO"/>
        </w:rPr>
      </w:pPr>
      <w:r w:rsidRPr="001131FC">
        <w:rPr>
          <w:rFonts w:ascii="Verdana" w:hAnsi="Verdana" w:cs="Arial"/>
          <w:lang w:val="es-MX"/>
        </w:rPr>
        <w:t xml:space="preserve">Dado en Bogotá a los </w:t>
      </w:r>
      <w:r w:rsidR="00F96A89">
        <w:rPr>
          <w:rFonts w:ascii="Verdana" w:hAnsi="Verdana" w:cs="Arial"/>
          <w:lang w:val="es-MX"/>
        </w:rPr>
        <w:t>1</w:t>
      </w:r>
      <w:r w:rsidR="00F30159" w:rsidRPr="001131FC">
        <w:rPr>
          <w:rFonts w:ascii="Verdana" w:hAnsi="Verdana" w:cs="Arial"/>
          <w:lang w:val="es-MX"/>
        </w:rPr>
        <w:t>5 días del mes de enero de 202</w:t>
      </w:r>
      <w:r w:rsidR="00F96A89">
        <w:rPr>
          <w:rFonts w:ascii="Verdana" w:hAnsi="Verdana" w:cs="Arial"/>
          <w:lang w:val="es-MX"/>
        </w:rPr>
        <w:t>6</w:t>
      </w:r>
    </w:p>
    <w:p w14:paraId="3754B703" w14:textId="77777777" w:rsidR="00C860C7" w:rsidRPr="001131FC" w:rsidRDefault="00C860C7" w:rsidP="00C860C7">
      <w:pPr>
        <w:spacing w:after="0" w:line="240" w:lineRule="auto"/>
        <w:jc w:val="center"/>
        <w:rPr>
          <w:rFonts w:ascii="Verdana" w:hAnsi="Verdana" w:cs="Arial"/>
          <w:lang w:val="es-MX"/>
        </w:rPr>
      </w:pPr>
    </w:p>
    <w:p w14:paraId="05625AF9" w14:textId="77777777" w:rsidR="00F96A89" w:rsidRDefault="00F96A89" w:rsidP="00F017C7">
      <w:pPr>
        <w:spacing w:after="0" w:line="240" w:lineRule="auto"/>
        <w:jc w:val="center"/>
        <w:rPr>
          <w:rFonts w:ascii="Verdana" w:hAnsi="Verdana" w:cs="Arial"/>
          <w:b/>
          <w:bCs/>
          <w:lang w:val="es-MX"/>
        </w:rPr>
      </w:pPr>
      <w:r>
        <w:rPr>
          <w:rFonts w:ascii="Verdana" w:hAnsi="Verdana" w:cs="Arial"/>
          <w:b/>
          <w:bCs/>
          <w:lang w:val="es-MX"/>
        </w:rPr>
        <w:t>ASTRID ELIANA CÁCERES CÁRDENAS</w:t>
      </w:r>
    </w:p>
    <w:p w14:paraId="6822888C" w14:textId="7324BED5" w:rsidR="00FD4D8E" w:rsidRPr="00F96A89" w:rsidRDefault="00FD4D8E" w:rsidP="00F017C7">
      <w:pPr>
        <w:spacing w:after="0" w:line="240" w:lineRule="auto"/>
        <w:jc w:val="center"/>
        <w:rPr>
          <w:rFonts w:ascii="Verdana" w:hAnsi="Verdana" w:cs="Arial"/>
          <w:lang w:val="es-MX"/>
        </w:rPr>
      </w:pPr>
      <w:r w:rsidRPr="00F96A89">
        <w:rPr>
          <w:rFonts w:ascii="Verdana" w:hAnsi="Verdana" w:cs="Arial"/>
          <w:lang w:val="es-MX"/>
        </w:rPr>
        <w:t>Directora General</w:t>
      </w:r>
    </w:p>
    <w:sectPr w:rsidR="00FD4D8E" w:rsidRPr="00F96A89" w:rsidSect="00F30159">
      <w:headerReference w:type="even" r:id="rId8"/>
      <w:footerReference w:type="default" r:id="rId9"/>
      <w:headerReference w:type="first" r:id="rId10"/>
      <w:pgSz w:w="12240" w:h="15840" w:code="1"/>
      <w:pgMar w:top="1134" w:right="1134" w:bottom="2268" w:left="1701" w:header="130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FA91" w14:textId="77777777" w:rsidR="0041461C" w:rsidRDefault="0041461C" w:rsidP="00B92FB1">
      <w:pPr>
        <w:spacing w:after="0" w:line="240" w:lineRule="auto"/>
      </w:pPr>
      <w:r>
        <w:separator/>
      </w:r>
    </w:p>
  </w:endnote>
  <w:endnote w:type="continuationSeparator" w:id="0">
    <w:p w14:paraId="5BCAEE09" w14:textId="77777777" w:rsidR="0041461C" w:rsidRDefault="0041461C"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1AB8" w14:textId="7A6A07EF" w:rsidR="00B92FB1" w:rsidRDefault="00B92FB1" w:rsidP="00B92FB1">
    <w:pPr>
      <w:spacing w:after="0" w:line="240" w:lineRule="auto"/>
    </w:pPr>
    <w:r>
      <w:t xml:space="preserve">                                                </w:t>
    </w:r>
  </w:p>
  <w:p w14:paraId="3E61F1A4" w14:textId="77777777"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78CB" w14:textId="77777777" w:rsidR="0041461C" w:rsidRDefault="0041461C" w:rsidP="00B92FB1">
      <w:pPr>
        <w:spacing w:after="0" w:line="240" w:lineRule="auto"/>
      </w:pPr>
      <w:r>
        <w:separator/>
      </w:r>
    </w:p>
  </w:footnote>
  <w:footnote w:type="continuationSeparator" w:id="0">
    <w:p w14:paraId="37628D13" w14:textId="77777777" w:rsidR="0041461C" w:rsidRDefault="0041461C" w:rsidP="00B9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A588" w14:textId="66C36570" w:rsidR="0002531E" w:rsidRDefault="00F30159">
    <w:pPr>
      <w:pStyle w:val="Encabezado"/>
    </w:pPr>
    <w:r>
      <w:rPr>
        <w:noProof/>
      </w:rPr>
      <mc:AlternateContent>
        <mc:Choice Requires="wps">
          <w:drawing>
            <wp:anchor distT="0" distB="0" distL="114300" distR="114300" simplePos="0" relativeHeight="251657216" behindDoc="1" locked="0" layoutInCell="0" allowOverlap="1" wp14:anchorId="5481C058" wp14:editId="41229538">
              <wp:simplePos x="0" y="0"/>
              <wp:positionH relativeFrom="margin">
                <wp:align>center</wp:align>
              </wp:positionH>
              <wp:positionV relativeFrom="margin">
                <wp:align>center</wp:align>
              </wp:positionV>
              <wp:extent cx="5894070" cy="2526030"/>
              <wp:effectExtent l="0" t="1247775" r="0" b="1131570"/>
              <wp:wrapNone/>
              <wp:docPr id="170861926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B145BC" w14:textId="77777777" w:rsidR="00F30159" w:rsidRDefault="00F30159" w:rsidP="00F30159">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81C058" id="_x0000_t202" coordsize="21600,21600" o:spt="202" path="m,l,21600r21600,l21600,xe">
              <v:stroke joinstyle="miter"/>
              <v:path gradientshapeok="t" o:connecttype="rect"/>
            </v:shapetype>
            <v:shape id="Cuadro de texto 5" o:spid="_x0000_s1026" type="#_x0000_t202" style="position:absolute;margin-left:0;margin-top:0;width:464.1pt;height:198.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o:allowincell="f" filled="f" stroked="f">
              <v:stroke joinstyle="round"/>
              <o:lock v:ext="edit" shapetype="t"/>
              <v:textbox style="mso-fit-shape-to-text:t">
                <w:txbxContent>
                  <w:p w14:paraId="09B145BC" w14:textId="77777777" w:rsidR="00F30159" w:rsidRDefault="00F30159" w:rsidP="00F30159">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3D9E" w14:textId="77777777" w:rsidR="0002531E" w:rsidRDefault="00000000">
    <w:pPr>
      <w:pStyle w:val="Encabezado"/>
    </w:pPr>
    <w:r>
      <w:rPr>
        <w:noProof/>
      </w:rPr>
      <w:pict w14:anchorId="2B71E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4.1pt;height:198.9pt;rotation:315;z-index:-251658240;mso-wrap-edited:f;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5EC"/>
    <w:multiLevelType w:val="hybridMultilevel"/>
    <w:tmpl w:val="56A0BED4"/>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F35277"/>
    <w:multiLevelType w:val="multilevel"/>
    <w:tmpl w:val="F7FADA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2" w15:restartNumberingAfterBreak="0">
    <w:nsid w:val="158F5591"/>
    <w:multiLevelType w:val="hybridMultilevel"/>
    <w:tmpl w:val="958CAAE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714090"/>
    <w:multiLevelType w:val="hybridMultilevel"/>
    <w:tmpl w:val="48381A9C"/>
    <w:lvl w:ilvl="0" w:tplc="24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614FC3"/>
    <w:multiLevelType w:val="multilevel"/>
    <w:tmpl w:val="F5881F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5" w15:restartNumberingAfterBreak="0">
    <w:nsid w:val="35E12F84"/>
    <w:multiLevelType w:val="multilevel"/>
    <w:tmpl w:val="F5881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b/>
        <w:i/>
      </w:rPr>
    </w:lvl>
    <w:lvl w:ilvl="4">
      <w:start w:val="1"/>
      <w:numFmt w:val="decimal"/>
      <w:isLgl/>
      <w:lvlText w:val="%1.%2.%3.%4.%5."/>
      <w:lvlJc w:val="left"/>
      <w:pPr>
        <w:ind w:left="2880" w:hanging="1080"/>
      </w:pPr>
      <w:rPr>
        <w:rFonts w:hint="default"/>
        <w:b/>
        <w:i/>
      </w:rPr>
    </w:lvl>
    <w:lvl w:ilvl="5">
      <w:start w:val="1"/>
      <w:numFmt w:val="decimal"/>
      <w:isLgl/>
      <w:lvlText w:val="%1.%2.%3.%4.%5.%6."/>
      <w:lvlJc w:val="left"/>
      <w:pPr>
        <w:ind w:left="3240" w:hanging="1080"/>
      </w:pPr>
      <w:rPr>
        <w:rFonts w:hint="default"/>
        <w:b/>
        <w:i/>
      </w:rPr>
    </w:lvl>
    <w:lvl w:ilvl="6">
      <w:start w:val="1"/>
      <w:numFmt w:val="decimal"/>
      <w:isLgl/>
      <w:lvlText w:val="%1.%2.%3.%4.%5.%6.%7."/>
      <w:lvlJc w:val="left"/>
      <w:pPr>
        <w:ind w:left="3960" w:hanging="1440"/>
      </w:pPr>
      <w:rPr>
        <w:rFonts w:hint="default"/>
        <w:b/>
        <w:i/>
      </w:rPr>
    </w:lvl>
    <w:lvl w:ilvl="7">
      <w:start w:val="1"/>
      <w:numFmt w:val="decimal"/>
      <w:isLgl/>
      <w:lvlText w:val="%1.%2.%3.%4.%5.%6.%7.%8."/>
      <w:lvlJc w:val="left"/>
      <w:pPr>
        <w:ind w:left="4320" w:hanging="1440"/>
      </w:pPr>
      <w:rPr>
        <w:rFonts w:hint="default"/>
        <w:b/>
        <w:i/>
      </w:rPr>
    </w:lvl>
    <w:lvl w:ilvl="8">
      <w:start w:val="1"/>
      <w:numFmt w:val="decimal"/>
      <w:isLgl/>
      <w:lvlText w:val="%1.%2.%3.%4.%5.%6.%7.%8.%9."/>
      <w:lvlJc w:val="left"/>
      <w:pPr>
        <w:ind w:left="5040" w:hanging="1800"/>
      </w:pPr>
      <w:rPr>
        <w:rFonts w:hint="default"/>
        <w:b/>
        <w:i/>
      </w:rPr>
    </w:lvl>
  </w:abstractNum>
  <w:abstractNum w:abstractNumId="6" w15:restartNumberingAfterBreak="0">
    <w:nsid w:val="58F20052"/>
    <w:multiLevelType w:val="hybridMultilevel"/>
    <w:tmpl w:val="FCFAB364"/>
    <w:lvl w:ilvl="0" w:tplc="7A7410E8">
      <w:start w:val="1"/>
      <w:numFmt w:val="bullet"/>
      <w:lvlText w:val=""/>
      <w:lvlJc w:val="left"/>
      <w:pPr>
        <w:tabs>
          <w:tab w:val="num" w:pos="720"/>
        </w:tabs>
        <w:ind w:left="720" w:hanging="360"/>
      </w:pPr>
      <w:rPr>
        <w:rFonts w:ascii="Symbol" w:hAnsi="Symbol" w:hint="default"/>
      </w:rPr>
    </w:lvl>
    <w:lvl w:ilvl="1" w:tplc="0688E6CA" w:tentative="1">
      <w:start w:val="1"/>
      <w:numFmt w:val="bullet"/>
      <w:lvlText w:val=""/>
      <w:lvlJc w:val="left"/>
      <w:pPr>
        <w:tabs>
          <w:tab w:val="num" w:pos="1440"/>
        </w:tabs>
        <w:ind w:left="1440" w:hanging="360"/>
      </w:pPr>
      <w:rPr>
        <w:rFonts w:ascii="Symbol" w:hAnsi="Symbol" w:hint="default"/>
      </w:rPr>
    </w:lvl>
    <w:lvl w:ilvl="2" w:tplc="8A124C3E" w:tentative="1">
      <w:start w:val="1"/>
      <w:numFmt w:val="bullet"/>
      <w:lvlText w:val=""/>
      <w:lvlJc w:val="left"/>
      <w:pPr>
        <w:tabs>
          <w:tab w:val="num" w:pos="2160"/>
        </w:tabs>
        <w:ind w:left="2160" w:hanging="360"/>
      </w:pPr>
      <w:rPr>
        <w:rFonts w:ascii="Symbol" w:hAnsi="Symbol" w:hint="default"/>
      </w:rPr>
    </w:lvl>
    <w:lvl w:ilvl="3" w:tplc="6EB6B22A" w:tentative="1">
      <w:start w:val="1"/>
      <w:numFmt w:val="bullet"/>
      <w:lvlText w:val=""/>
      <w:lvlJc w:val="left"/>
      <w:pPr>
        <w:tabs>
          <w:tab w:val="num" w:pos="2880"/>
        </w:tabs>
        <w:ind w:left="2880" w:hanging="360"/>
      </w:pPr>
      <w:rPr>
        <w:rFonts w:ascii="Symbol" w:hAnsi="Symbol" w:hint="default"/>
      </w:rPr>
    </w:lvl>
    <w:lvl w:ilvl="4" w:tplc="79588816" w:tentative="1">
      <w:start w:val="1"/>
      <w:numFmt w:val="bullet"/>
      <w:lvlText w:val=""/>
      <w:lvlJc w:val="left"/>
      <w:pPr>
        <w:tabs>
          <w:tab w:val="num" w:pos="3600"/>
        </w:tabs>
        <w:ind w:left="3600" w:hanging="360"/>
      </w:pPr>
      <w:rPr>
        <w:rFonts w:ascii="Symbol" w:hAnsi="Symbol" w:hint="default"/>
      </w:rPr>
    </w:lvl>
    <w:lvl w:ilvl="5" w:tplc="50E2669A" w:tentative="1">
      <w:start w:val="1"/>
      <w:numFmt w:val="bullet"/>
      <w:lvlText w:val=""/>
      <w:lvlJc w:val="left"/>
      <w:pPr>
        <w:tabs>
          <w:tab w:val="num" w:pos="4320"/>
        </w:tabs>
        <w:ind w:left="4320" w:hanging="360"/>
      </w:pPr>
      <w:rPr>
        <w:rFonts w:ascii="Symbol" w:hAnsi="Symbol" w:hint="default"/>
      </w:rPr>
    </w:lvl>
    <w:lvl w:ilvl="6" w:tplc="8410D412" w:tentative="1">
      <w:start w:val="1"/>
      <w:numFmt w:val="bullet"/>
      <w:lvlText w:val=""/>
      <w:lvlJc w:val="left"/>
      <w:pPr>
        <w:tabs>
          <w:tab w:val="num" w:pos="5040"/>
        </w:tabs>
        <w:ind w:left="5040" w:hanging="360"/>
      </w:pPr>
      <w:rPr>
        <w:rFonts w:ascii="Symbol" w:hAnsi="Symbol" w:hint="default"/>
      </w:rPr>
    </w:lvl>
    <w:lvl w:ilvl="7" w:tplc="354ABF7E" w:tentative="1">
      <w:start w:val="1"/>
      <w:numFmt w:val="bullet"/>
      <w:lvlText w:val=""/>
      <w:lvlJc w:val="left"/>
      <w:pPr>
        <w:tabs>
          <w:tab w:val="num" w:pos="5760"/>
        </w:tabs>
        <w:ind w:left="5760" w:hanging="360"/>
      </w:pPr>
      <w:rPr>
        <w:rFonts w:ascii="Symbol" w:hAnsi="Symbol" w:hint="default"/>
      </w:rPr>
    </w:lvl>
    <w:lvl w:ilvl="8" w:tplc="E1F2B68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0AC0195"/>
    <w:multiLevelType w:val="hybridMultilevel"/>
    <w:tmpl w:val="EBDCFB2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43A5122"/>
    <w:multiLevelType w:val="hybridMultilevel"/>
    <w:tmpl w:val="AB5C5A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83F7EC7"/>
    <w:multiLevelType w:val="hybridMultilevel"/>
    <w:tmpl w:val="4D726B9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9">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9">
      <w:start w:val="1"/>
      <w:numFmt w:val="bullet"/>
      <w:lvlText w:val=""/>
      <w:lvlJc w:val="left"/>
      <w:pPr>
        <w:ind w:left="3600" w:hanging="360"/>
      </w:pPr>
      <w:rPr>
        <w:rFonts w:ascii="Wingdings" w:hAnsi="Wingdings"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CF40DC8"/>
    <w:multiLevelType w:val="hybridMultilevel"/>
    <w:tmpl w:val="C9D0D7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4D54A5"/>
    <w:multiLevelType w:val="hybridMultilevel"/>
    <w:tmpl w:val="BEB60428"/>
    <w:lvl w:ilvl="0" w:tplc="8ECA81F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9FF0405"/>
    <w:multiLevelType w:val="hybridMultilevel"/>
    <w:tmpl w:val="EEBEA926"/>
    <w:lvl w:ilvl="0" w:tplc="24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B6E0B95"/>
    <w:multiLevelType w:val="multilevel"/>
    <w:tmpl w:val="F5881F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14" w15:restartNumberingAfterBreak="0">
    <w:nsid w:val="7FAB2AB7"/>
    <w:multiLevelType w:val="hybridMultilevel"/>
    <w:tmpl w:val="D8F0F4E4"/>
    <w:lvl w:ilvl="0" w:tplc="7988FBAC">
      <w:start w:val="1"/>
      <w:numFmt w:val="bullet"/>
      <w:lvlText w:val=""/>
      <w:lvlJc w:val="left"/>
      <w:pPr>
        <w:tabs>
          <w:tab w:val="num" w:pos="720"/>
        </w:tabs>
        <w:ind w:left="720" w:hanging="360"/>
      </w:pPr>
      <w:rPr>
        <w:rFonts w:ascii="Symbol" w:hAnsi="Symbol" w:hint="default"/>
      </w:rPr>
    </w:lvl>
    <w:lvl w:ilvl="1" w:tplc="8272F666" w:tentative="1">
      <w:start w:val="1"/>
      <w:numFmt w:val="bullet"/>
      <w:lvlText w:val=""/>
      <w:lvlJc w:val="left"/>
      <w:pPr>
        <w:tabs>
          <w:tab w:val="num" w:pos="1440"/>
        </w:tabs>
        <w:ind w:left="1440" w:hanging="360"/>
      </w:pPr>
      <w:rPr>
        <w:rFonts w:ascii="Symbol" w:hAnsi="Symbol" w:hint="default"/>
      </w:rPr>
    </w:lvl>
    <w:lvl w:ilvl="2" w:tplc="3040573A" w:tentative="1">
      <w:start w:val="1"/>
      <w:numFmt w:val="bullet"/>
      <w:lvlText w:val=""/>
      <w:lvlJc w:val="left"/>
      <w:pPr>
        <w:tabs>
          <w:tab w:val="num" w:pos="2160"/>
        </w:tabs>
        <w:ind w:left="2160" w:hanging="360"/>
      </w:pPr>
      <w:rPr>
        <w:rFonts w:ascii="Symbol" w:hAnsi="Symbol" w:hint="default"/>
      </w:rPr>
    </w:lvl>
    <w:lvl w:ilvl="3" w:tplc="A63CE602" w:tentative="1">
      <w:start w:val="1"/>
      <w:numFmt w:val="bullet"/>
      <w:lvlText w:val=""/>
      <w:lvlJc w:val="left"/>
      <w:pPr>
        <w:tabs>
          <w:tab w:val="num" w:pos="2880"/>
        </w:tabs>
        <w:ind w:left="2880" w:hanging="360"/>
      </w:pPr>
      <w:rPr>
        <w:rFonts w:ascii="Symbol" w:hAnsi="Symbol" w:hint="default"/>
      </w:rPr>
    </w:lvl>
    <w:lvl w:ilvl="4" w:tplc="9A402842" w:tentative="1">
      <w:start w:val="1"/>
      <w:numFmt w:val="bullet"/>
      <w:lvlText w:val=""/>
      <w:lvlJc w:val="left"/>
      <w:pPr>
        <w:tabs>
          <w:tab w:val="num" w:pos="3600"/>
        </w:tabs>
        <w:ind w:left="3600" w:hanging="360"/>
      </w:pPr>
      <w:rPr>
        <w:rFonts w:ascii="Symbol" w:hAnsi="Symbol" w:hint="default"/>
      </w:rPr>
    </w:lvl>
    <w:lvl w:ilvl="5" w:tplc="BE7C0F30" w:tentative="1">
      <w:start w:val="1"/>
      <w:numFmt w:val="bullet"/>
      <w:lvlText w:val=""/>
      <w:lvlJc w:val="left"/>
      <w:pPr>
        <w:tabs>
          <w:tab w:val="num" w:pos="4320"/>
        </w:tabs>
        <w:ind w:left="4320" w:hanging="360"/>
      </w:pPr>
      <w:rPr>
        <w:rFonts w:ascii="Symbol" w:hAnsi="Symbol" w:hint="default"/>
      </w:rPr>
    </w:lvl>
    <w:lvl w:ilvl="6" w:tplc="0A5A874E" w:tentative="1">
      <w:start w:val="1"/>
      <w:numFmt w:val="bullet"/>
      <w:lvlText w:val=""/>
      <w:lvlJc w:val="left"/>
      <w:pPr>
        <w:tabs>
          <w:tab w:val="num" w:pos="5040"/>
        </w:tabs>
        <w:ind w:left="5040" w:hanging="360"/>
      </w:pPr>
      <w:rPr>
        <w:rFonts w:ascii="Symbol" w:hAnsi="Symbol" w:hint="default"/>
      </w:rPr>
    </w:lvl>
    <w:lvl w:ilvl="7" w:tplc="521EC25E" w:tentative="1">
      <w:start w:val="1"/>
      <w:numFmt w:val="bullet"/>
      <w:lvlText w:val=""/>
      <w:lvlJc w:val="left"/>
      <w:pPr>
        <w:tabs>
          <w:tab w:val="num" w:pos="5760"/>
        </w:tabs>
        <w:ind w:left="5760" w:hanging="360"/>
      </w:pPr>
      <w:rPr>
        <w:rFonts w:ascii="Symbol" w:hAnsi="Symbol" w:hint="default"/>
      </w:rPr>
    </w:lvl>
    <w:lvl w:ilvl="8" w:tplc="3BA6A904" w:tentative="1">
      <w:start w:val="1"/>
      <w:numFmt w:val="bullet"/>
      <w:lvlText w:val=""/>
      <w:lvlJc w:val="left"/>
      <w:pPr>
        <w:tabs>
          <w:tab w:val="num" w:pos="6480"/>
        </w:tabs>
        <w:ind w:left="6480" w:hanging="360"/>
      </w:pPr>
      <w:rPr>
        <w:rFonts w:ascii="Symbol" w:hAnsi="Symbol" w:hint="default"/>
      </w:rPr>
    </w:lvl>
  </w:abstractNum>
  <w:num w:numId="1" w16cid:durableId="306279215">
    <w:abstractNumId w:val="11"/>
  </w:num>
  <w:num w:numId="2" w16cid:durableId="462583740">
    <w:abstractNumId w:val="2"/>
  </w:num>
  <w:num w:numId="3" w16cid:durableId="1017658842">
    <w:abstractNumId w:val="9"/>
  </w:num>
  <w:num w:numId="4" w16cid:durableId="315500579">
    <w:abstractNumId w:val="4"/>
  </w:num>
  <w:num w:numId="5" w16cid:durableId="53626901">
    <w:abstractNumId w:val="14"/>
  </w:num>
  <w:num w:numId="6" w16cid:durableId="153229288">
    <w:abstractNumId w:val="6"/>
  </w:num>
  <w:num w:numId="7" w16cid:durableId="1520000137">
    <w:abstractNumId w:val="0"/>
  </w:num>
  <w:num w:numId="8" w16cid:durableId="1127817688">
    <w:abstractNumId w:val="5"/>
  </w:num>
  <w:num w:numId="9" w16cid:durableId="141582865">
    <w:abstractNumId w:val="13"/>
  </w:num>
  <w:num w:numId="10" w16cid:durableId="1717045777">
    <w:abstractNumId w:val="8"/>
  </w:num>
  <w:num w:numId="11" w16cid:durableId="1388533236">
    <w:abstractNumId w:val="10"/>
  </w:num>
  <w:num w:numId="12" w16cid:durableId="815224717">
    <w:abstractNumId w:val="12"/>
  </w:num>
  <w:num w:numId="13" w16cid:durableId="283466965">
    <w:abstractNumId w:val="3"/>
  </w:num>
  <w:num w:numId="14" w16cid:durableId="730931790">
    <w:abstractNumId w:val="1"/>
  </w:num>
  <w:num w:numId="15" w16cid:durableId="1063992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00F5"/>
    <w:rsid w:val="00005A42"/>
    <w:rsid w:val="0002193E"/>
    <w:rsid w:val="00024AFB"/>
    <w:rsid w:val="0002531E"/>
    <w:rsid w:val="0003682A"/>
    <w:rsid w:val="00041D6F"/>
    <w:rsid w:val="0004700F"/>
    <w:rsid w:val="0006240E"/>
    <w:rsid w:val="000638D6"/>
    <w:rsid w:val="000677BF"/>
    <w:rsid w:val="00094ED2"/>
    <w:rsid w:val="000C3801"/>
    <w:rsid w:val="000C3EA3"/>
    <w:rsid w:val="000E2416"/>
    <w:rsid w:val="000F4E14"/>
    <w:rsid w:val="001030AF"/>
    <w:rsid w:val="001131FC"/>
    <w:rsid w:val="00117F91"/>
    <w:rsid w:val="0012568E"/>
    <w:rsid w:val="00130696"/>
    <w:rsid w:val="00130843"/>
    <w:rsid w:val="00153C68"/>
    <w:rsid w:val="00167890"/>
    <w:rsid w:val="00170768"/>
    <w:rsid w:val="00182EF6"/>
    <w:rsid w:val="001832AC"/>
    <w:rsid w:val="00184096"/>
    <w:rsid w:val="0019369D"/>
    <w:rsid w:val="001B3EEE"/>
    <w:rsid w:val="001C242B"/>
    <w:rsid w:val="001C2A6A"/>
    <w:rsid w:val="001C574A"/>
    <w:rsid w:val="001C77ED"/>
    <w:rsid w:val="001F057E"/>
    <w:rsid w:val="001F1F19"/>
    <w:rsid w:val="001F3C9D"/>
    <w:rsid w:val="00214AB6"/>
    <w:rsid w:val="00246F85"/>
    <w:rsid w:val="002532F2"/>
    <w:rsid w:val="00261C03"/>
    <w:rsid w:val="00265D89"/>
    <w:rsid w:val="00277F79"/>
    <w:rsid w:val="00287AA6"/>
    <w:rsid w:val="002A583A"/>
    <w:rsid w:val="002C0ABC"/>
    <w:rsid w:val="002E3EFF"/>
    <w:rsid w:val="002F79D6"/>
    <w:rsid w:val="00310B01"/>
    <w:rsid w:val="0034051C"/>
    <w:rsid w:val="00351461"/>
    <w:rsid w:val="003860D5"/>
    <w:rsid w:val="00391EFD"/>
    <w:rsid w:val="003943EF"/>
    <w:rsid w:val="00396564"/>
    <w:rsid w:val="003B10D4"/>
    <w:rsid w:val="003C11AF"/>
    <w:rsid w:val="003C1F1F"/>
    <w:rsid w:val="003C2C40"/>
    <w:rsid w:val="003C7B36"/>
    <w:rsid w:val="003D4FD7"/>
    <w:rsid w:val="003E0D58"/>
    <w:rsid w:val="003F4AE9"/>
    <w:rsid w:val="0040470F"/>
    <w:rsid w:val="00404F59"/>
    <w:rsid w:val="00407363"/>
    <w:rsid w:val="0041461C"/>
    <w:rsid w:val="00430587"/>
    <w:rsid w:val="00437218"/>
    <w:rsid w:val="004404CD"/>
    <w:rsid w:val="004477D9"/>
    <w:rsid w:val="004554AF"/>
    <w:rsid w:val="00474B59"/>
    <w:rsid w:val="00474F4D"/>
    <w:rsid w:val="00477880"/>
    <w:rsid w:val="00490F50"/>
    <w:rsid w:val="004B4DD6"/>
    <w:rsid w:val="004C71A8"/>
    <w:rsid w:val="004D7679"/>
    <w:rsid w:val="004E5577"/>
    <w:rsid w:val="005108BB"/>
    <w:rsid w:val="00531549"/>
    <w:rsid w:val="00535C0C"/>
    <w:rsid w:val="00567D86"/>
    <w:rsid w:val="00591A3C"/>
    <w:rsid w:val="005A076A"/>
    <w:rsid w:val="005A7572"/>
    <w:rsid w:val="005C24E5"/>
    <w:rsid w:val="005D4C82"/>
    <w:rsid w:val="005D7D30"/>
    <w:rsid w:val="005F20B5"/>
    <w:rsid w:val="006150CD"/>
    <w:rsid w:val="00625832"/>
    <w:rsid w:val="00642500"/>
    <w:rsid w:val="00660D99"/>
    <w:rsid w:val="00670348"/>
    <w:rsid w:val="00671305"/>
    <w:rsid w:val="00675283"/>
    <w:rsid w:val="00677075"/>
    <w:rsid w:val="00681B62"/>
    <w:rsid w:val="006B1159"/>
    <w:rsid w:val="006B715B"/>
    <w:rsid w:val="006C4F59"/>
    <w:rsid w:val="006C5EFF"/>
    <w:rsid w:val="006C7934"/>
    <w:rsid w:val="006D16AA"/>
    <w:rsid w:val="006E1F50"/>
    <w:rsid w:val="006E339F"/>
    <w:rsid w:val="006F4B5D"/>
    <w:rsid w:val="007027B5"/>
    <w:rsid w:val="007038D9"/>
    <w:rsid w:val="00713864"/>
    <w:rsid w:val="00725844"/>
    <w:rsid w:val="0074381E"/>
    <w:rsid w:val="00771492"/>
    <w:rsid w:val="00783434"/>
    <w:rsid w:val="00796C36"/>
    <w:rsid w:val="007B273A"/>
    <w:rsid w:val="007C6274"/>
    <w:rsid w:val="007E48C1"/>
    <w:rsid w:val="007F0BEC"/>
    <w:rsid w:val="007F4B40"/>
    <w:rsid w:val="00823EE2"/>
    <w:rsid w:val="00833855"/>
    <w:rsid w:val="00856D33"/>
    <w:rsid w:val="00862C06"/>
    <w:rsid w:val="00872A01"/>
    <w:rsid w:val="00872FC8"/>
    <w:rsid w:val="00877DD4"/>
    <w:rsid w:val="008B63C5"/>
    <w:rsid w:val="008C1349"/>
    <w:rsid w:val="008C3860"/>
    <w:rsid w:val="008C7E5D"/>
    <w:rsid w:val="008D6411"/>
    <w:rsid w:val="008E1DA6"/>
    <w:rsid w:val="008E4954"/>
    <w:rsid w:val="008F1846"/>
    <w:rsid w:val="008F6A0E"/>
    <w:rsid w:val="00903AE4"/>
    <w:rsid w:val="00915363"/>
    <w:rsid w:val="0091670C"/>
    <w:rsid w:val="00942999"/>
    <w:rsid w:val="00956392"/>
    <w:rsid w:val="00957EA9"/>
    <w:rsid w:val="009647E8"/>
    <w:rsid w:val="00964ADC"/>
    <w:rsid w:val="0097122A"/>
    <w:rsid w:val="00993D34"/>
    <w:rsid w:val="00995007"/>
    <w:rsid w:val="009A2447"/>
    <w:rsid w:val="009B2507"/>
    <w:rsid w:val="009C403D"/>
    <w:rsid w:val="009C4C83"/>
    <w:rsid w:val="00A16DDB"/>
    <w:rsid w:val="00A37302"/>
    <w:rsid w:val="00A41D89"/>
    <w:rsid w:val="00A50F9A"/>
    <w:rsid w:val="00A55DAD"/>
    <w:rsid w:val="00A87367"/>
    <w:rsid w:val="00AD4D76"/>
    <w:rsid w:val="00AD6BF9"/>
    <w:rsid w:val="00AE250D"/>
    <w:rsid w:val="00AE3416"/>
    <w:rsid w:val="00AF16AC"/>
    <w:rsid w:val="00B023E8"/>
    <w:rsid w:val="00B03865"/>
    <w:rsid w:val="00B24970"/>
    <w:rsid w:val="00B25BAE"/>
    <w:rsid w:val="00B2730F"/>
    <w:rsid w:val="00B27CE3"/>
    <w:rsid w:val="00B34516"/>
    <w:rsid w:val="00B44FF2"/>
    <w:rsid w:val="00B47EA5"/>
    <w:rsid w:val="00B52C7D"/>
    <w:rsid w:val="00B6344B"/>
    <w:rsid w:val="00B678FD"/>
    <w:rsid w:val="00B74A32"/>
    <w:rsid w:val="00B80EA0"/>
    <w:rsid w:val="00B822A7"/>
    <w:rsid w:val="00B92FB1"/>
    <w:rsid w:val="00B963D6"/>
    <w:rsid w:val="00BB6C93"/>
    <w:rsid w:val="00BD1F25"/>
    <w:rsid w:val="00BE746D"/>
    <w:rsid w:val="00BF1827"/>
    <w:rsid w:val="00BF2880"/>
    <w:rsid w:val="00C11677"/>
    <w:rsid w:val="00C11F25"/>
    <w:rsid w:val="00C41CD2"/>
    <w:rsid w:val="00C578E7"/>
    <w:rsid w:val="00C6503A"/>
    <w:rsid w:val="00C65D4F"/>
    <w:rsid w:val="00C751B0"/>
    <w:rsid w:val="00C81F65"/>
    <w:rsid w:val="00C860C7"/>
    <w:rsid w:val="00C9554D"/>
    <w:rsid w:val="00CC6F72"/>
    <w:rsid w:val="00CE07DF"/>
    <w:rsid w:val="00CE0A77"/>
    <w:rsid w:val="00CE2EF0"/>
    <w:rsid w:val="00D2239A"/>
    <w:rsid w:val="00D36767"/>
    <w:rsid w:val="00D43B93"/>
    <w:rsid w:val="00D52ACF"/>
    <w:rsid w:val="00D61367"/>
    <w:rsid w:val="00D67384"/>
    <w:rsid w:val="00D67460"/>
    <w:rsid w:val="00D727B2"/>
    <w:rsid w:val="00D86DDB"/>
    <w:rsid w:val="00DA56E3"/>
    <w:rsid w:val="00DC379E"/>
    <w:rsid w:val="00DC5221"/>
    <w:rsid w:val="00DC607E"/>
    <w:rsid w:val="00DE1295"/>
    <w:rsid w:val="00DF10C4"/>
    <w:rsid w:val="00DF4CCD"/>
    <w:rsid w:val="00E01FD5"/>
    <w:rsid w:val="00E2419C"/>
    <w:rsid w:val="00E2537A"/>
    <w:rsid w:val="00E55B66"/>
    <w:rsid w:val="00E61433"/>
    <w:rsid w:val="00EC0F3D"/>
    <w:rsid w:val="00EC2935"/>
    <w:rsid w:val="00EC7F51"/>
    <w:rsid w:val="00ED3776"/>
    <w:rsid w:val="00F000ED"/>
    <w:rsid w:val="00F017C7"/>
    <w:rsid w:val="00F07C1F"/>
    <w:rsid w:val="00F12139"/>
    <w:rsid w:val="00F176B9"/>
    <w:rsid w:val="00F2113B"/>
    <w:rsid w:val="00F23CF4"/>
    <w:rsid w:val="00F30159"/>
    <w:rsid w:val="00F85E3B"/>
    <w:rsid w:val="00F96A89"/>
    <w:rsid w:val="00F976E4"/>
    <w:rsid w:val="00FA5BD8"/>
    <w:rsid w:val="00FB14EE"/>
    <w:rsid w:val="00FB1AB8"/>
    <w:rsid w:val="00FB758C"/>
    <w:rsid w:val="00FC1F5D"/>
    <w:rsid w:val="00FD2DC9"/>
    <w:rsid w:val="00FD4D8E"/>
    <w:rsid w:val="00FE2835"/>
    <w:rsid w:val="00FF05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F0C6C"/>
  <w15:chartTrackingRefBased/>
  <w15:docId w15:val="{23DE0910-EDC2-4465-9C90-7414AD1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link w:val="Ttulo1Car"/>
    <w:uiPriority w:val="9"/>
    <w:qFormat/>
    <w:rsid w:val="00D67460"/>
    <w:pPr>
      <w:widowControl w:val="0"/>
      <w:autoSpaceDE w:val="0"/>
      <w:autoSpaceDN w:val="0"/>
      <w:spacing w:after="0" w:line="240" w:lineRule="auto"/>
      <w:ind w:left="190"/>
      <w:jc w:val="center"/>
      <w:outlineLvl w:val="0"/>
    </w:pPr>
    <w:rPr>
      <w:rFonts w:ascii="Arial" w:eastAsia="Arial" w:hAnsi="Arial" w:cs="Arial"/>
      <w:b/>
      <w:bCs/>
    </w:rPr>
  </w:style>
  <w:style w:type="paragraph" w:styleId="Ttulo2">
    <w:name w:val="heading 2"/>
    <w:basedOn w:val="Normal"/>
    <w:link w:val="Ttulo2Car"/>
    <w:uiPriority w:val="9"/>
    <w:unhideWhenUsed/>
    <w:qFormat/>
    <w:rsid w:val="00D67460"/>
    <w:pPr>
      <w:widowControl w:val="0"/>
      <w:autoSpaceDE w:val="0"/>
      <w:autoSpaceDN w:val="0"/>
      <w:spacing w:before="94" w:after="0" w:line="240" w:lineRule="auto"/>
      <w:ind w:left="1433" w:right="306" w:hanging="1102"/>
      <w:outlineLvl w:val="1"/>
    </w:pPr>
    <w:rPr>
      <w:rFonts w:ascii="Arial" w:eastAsia="Arial" w:hAnsi="Arial" w:cs="Arial"/>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styleId="Mencinsinresolver">
    <w:name w:val="Unresolved Mention"/>
    <w:uiPriority w:val="99"/>
    <w:unhideWhenUsed/>
    <w:rsid w:val="00862C06"/>
    <w:rPr>
      <w:color w:val="808080"/>
      <w:shd w:val="clear" w:color="auto" w:fill="E6E6E6"/>
    </w:rPr>
  </w:style>
  <w:style w:type="paragraph" w:styleId="Prrafodelista">
    <w:name w:val="List Paragraph"/>
    <w:basedOn w:val="Normal"/>
    <w:link w:val="PrrafodelistaCar"/>
    <w:uiPriority w:val="34"/>
    <w:qFormat/>
    <w:rsid w:val="00862C06"/>
    <w:pPr>
      <w:spacing w:after="0" w:line="240" w:lineRule="auto"/>
      <w:ind w:left="720"/>
    </w:pPr>
    <w:rPr>
      <w:rFonts w:cs="Calibri"/>
      <w:lang w:eastAsia="es-ES"/>
    </w:rPr>
  </w:style>
  <w:style w:type="character" w:customStyle="1" w:styleId="PrrafodelistaCar">
    <w:name w:val="Párrafo de lista Car"/>
    <w:link w:val="Prrafodelista"/>
    <w:uiPriority w:val="34"/>
    <w:locked/>
    <w:rsid w:val="00862C06"/>
    <w:rPr>
      <w:rFonts w:cs="Calibri"/>
      <w:sz w:val="22"/>
      <w:szCs w:val="22"/>
      <w:lang w:val="es-ES" w:eastAsia="es-ES"/>
    </w:rPr>
  </w:style>
  <w:style w:type="paragraph" w:styleId="Textocomentario">
    <w:name w:val="annotation text"/>
    <w:basedOn w:val="Normal"/>
    <w:link w:val="TextocomentarioCar"/>
    <w:uiPriority w:val="99"/>
    <w:semiHidden/>
    <w:unhideWhenUsed/>
    <w:rsid w:val="00862C06"/>
    <w:rPr>
      <w:sz w:val="20"/>
      <w:szCs w:val="20"/>
    </w:rPr>
  </w:style>
  <w:style w:type="character" w:customStyle="1" w:styleId="TextocomentarioCar">
    <w:name w:val="Texto comentario Car"/>
    <w:link w:val="Textocomentario"/>
    <w:uiPriority w:val="99"/>
    <w:semiHidden/>
    <w:rsid w:val="00862C06"/>
    <w:rPr>
      <w:lang w:val="es-ES" w:eastAsia="en-US"/>
    </w:rPr>
  </w:style>
  <w:style w:type="character" w:styleId="Hipervnculovisitado">
    <w:name w:val="FollowedHyperlink"/>
    <w:uiPriority w:val="99"/>
    <w:semiHidden/>
    <w:unhideWhenUsed/>
    <w:rsid w:val="00862C06"/>
    <w:rPr>
      <w:color w:val="954F72"/>
      <w:u w:val="single"/>
    </w:rPr>
  </w:style>
  <w:style w:type="paragraph" w:styleId="Revisin">
    <w:name w:val="Revision"/>
    <w:hidden/>
    <w:uiPriority w:val="71"/>
    <w:unhideWhenUsed/>
    <w:rsid w:val="00862C06"/>
    <w:rPr>
      <w:sz w:val="22"/>
      <w:szCs w:val="22"/>
      <w:lang w:val="es-ES" w:eastAsia="en-US"/>
    </w:rPr>
  </w:style>
  <w:style w:type="character" w:styleId="Fuerte">
    <w:name w:val="Strong"/>
    <w:uiPriority w:val="22"/>
    <w:qFormat/>
    <w:rsid w:val="00C6503A"/>
    <w:rPr>
      <w:b/>
      <w:bCs/>
    </w:rPr>
  </w:style>
  <w:style w:type="character" w:customStyle="1" w:styleId="Ttulo1Car">
    <w:name w:val="Título 1 Car"/>
    <w:link w:val="Ttulo1"/>
    <w:uiPriority w:val="9"/>
    <w:rsid w:val="00D67460"/>
    <w:rPr>
      <w:rFonts w:ascii="Arial" w:eastAsia="Arial" w:hAnsi="Arial" w:cs="Arial"/>
      <w:b/>
      <w:bCs/>
      <w:sz w:val="22"/>
      <w:szCs w:val="22"/>
      <w:lang w:val="es-ES" w:eastAsia="en-US"/>
    </w:rPr>
  </w:style>
  <w:style w:type="character" w:customStyle="1" w:styleId="Ttulo2Car">
    <w:name w:val="Título 2 Car"/>
    <w:link w:val="Ttulo2"/>
    <w:uiPriority w:val="9"/>
    <w:rsid w:val="00D67460"/>
    <w:rPr>
      <w:rFonts w:ascii="Arial" w:eastAsia="Arial" w:hAnsi="Arial" w:cs="Arial"/>
      <w:b/>
      <w:bCs/>
      <w:i/>
      <w:sz w:val="22"/>
      <w:szCs w:val="22"/>
      <w:lang w:val="es-ES" w:eastAsia="en-US"/>
    </w:rPr>
  </w:style>
  <w:style w:type="paragraph" w:styleId="Textoindependiente">
    <w:name w:val="Body Text"/>
    <w:basedOn w:val="Normal"/>
    <w:link w:val="TextoindependienteCar"/>
    <w:uiPriority w:val="1"/>
    <w:qFormat/>
    <w:rsid w:val="00D67460"/>
    <w:pPr>
      <w:widowControl w:val="0"/>
      <w:autoSpaceDE w:val="0"/>
      <w:autoSpaceDN w:val="0"/>
      <w:spacing w:after="0" w:line="240" w:lineRule="auto"/>
    </w:pPr>
    <w:rPr>
      <w:rFonts w:ascii="Arial" w:eastAsia="Arial" w:hAnsi="Arial" w:cs="Arial"/>
    </w:rPr>
  </w:style>
  <w:style w:type="character" w:customStyle="1" w:styleId="TextoindependienteCar">
    <w:name w:val="Texto independiente Car"/>
    <w:link w:val="Textoindependiente"/>
    <w:uiPriority w:val="1"/>
    <w:rsid w:val="00D67460"/>
    <w:rPr>
      <w:rFonts w:ascii="Arial" w:eastAsia="Arial" w:hAnsi="Arial" w:cs="Arial"/>
      <w:sz w:val="22"/>
      <w:szCs w:val="22"/>
      <w:lang w:val="es-ES" w:eastAsia="en-US"/>
    </w:rPr>
  </w:style>
  <w:style w:type="character" w:styleId="Refdecomentario">
    <w:name w:val="annotation reference"/>
    <w:uiPriority w:val="99"/>
    <w:semiHidden/>
    <w:unhideWhenUsed/>
    <w:rsid w:val="00D67460"/>
    <w:rPr>
      <w:sz w:val="16"/>
      <w:szCs w:val="16"/>
    </w:rPr>
  </w:style>
  <w:style w:type="paragraph" w:styleId="Asuntodelcomentario">
    <w:name w:val="annotation subject"/>
    <w:basedOn w:val="Textocomentario"/>
    <w:next w:val="Textocomentario"/>
    <w:link w:val="AsuntodelcomentarioCar"/>
    <w:uiPriority w:val="99"/>
    <w:semiHidden/>
    <w:unhideWhenUsed/>
    <w:rsid w:val="00AF16AC"/>
    <w:rPr>
      <w:b/>
      <w:bCs/>
    </w:rPr>
  </w:style>
  <w:style w:type="character" w:customStyle="1" w:styleId="AsuntodelcomentarioCar">
    <w:name w:val="Asunto del comentario Car"/>
    <w:link w:val="Asuntodelcomentario"/>
    <w:uiPriority w:val="99"/>
    <w:semiHidden/>
    <w:rsid w:val="00AF16AC"/>
    <w:rPr>
      <w:b/>
      <w:bCs/>
      <w:lang w:val="es-ES" w:eastAsia="en-US"/>
    </w:rPr>
  </w:style>
  <w:style w:type="character" w:customStyle="1" w:styleId="ui-provider">
    <w:name w:val="ui-provider"/>
    <w:basedOn w:val="Fuentedeprrafopredeter"/>
    <w:rsid w:val="00B74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8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1AD39-9B48-4188-AA56-20313E5B0AD0}">
  <ds:schemaRefs>
    <ds:schemaRef ds:uri="http://schemas.openxmlformats.org/officeDocument/2006/bibliography"/>
  </ds:schemaRefs>
</ds:datastoreItem>
</file>

<file path=customXml/itemProps2.xml><?xml version="1.0" encoding="utf-8"?>
<ds:datastoreItem xmlns:ds="http://schemas.openxmlformats.org/officeDocument/2006/customXml" ds:itemID="{E29FEF84-A80E-4D6A-8D34-7B24B6EDD89A}"/>
</file>

<file path=customXml/itemProps3.xml><?xml version="1.0" encoding="utf-8"?>
<ds:datastoreItem xmlns:ds="http://schemas.openxmlformats.org/officeDocument/2006/customXml" ds:itemID="{57B3637C-1467-4DE5-998A-DDE352D6A8CF}"/>
</file>

<file path=customXml/itemProps4.xml><?xml version="1.0" encoding="utf-8"?>
<ds:datastoreItem xmlns:ds="http://schemas.openxmlformats.org/officeDocument/2006/customXml" ds:itemID="{D26A7D73-DA60-49F9-A47A-F5779DF08B74}"/>
</file>

<file path=docProps/app.xml><?xml version="1.0" encoding="utf-8"?>
<Properties xmlns="http://schemas.openxmlformats.org/officeDocument/2006/extended-properties" xmlns:vt="http://schemas.openxmlformats.org/officeDocument/2006/docPropsVTypes">
  <Template>Normal</Template>
  <TotalTime>8</TotalTime>
  <Pages>3</Pages>
  <Words>1025</Words>
  <Characters>5638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2019-01-25T16:36:00Z</cp:lastPrinted>
  <dcterms:created xsi:type="dcterms:W3CDTF">2026-03-14T15:41:00Z</dcterms:created>
  <dcterms:modified xsi:type="dcterms:W3CDTF">2026-03-14T15:41:00Z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