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C996" w14:textId="77777777" w:rsidR="00732F7C" w:rsidRPr="00732F7C" w:rsidRDefault="00732F7C" w:rsidP="00732F7C">
      <w:pPr>
        <w:jc w:val="center"/>
      </w:pPr>
      <w:r w:rsidRPr="00732F7C">
        <w:rPr>
          <w:b/>
          <w:bCs/>
        </w:rPr>
        <w:t>RESOLUCIÓN 10374 DE 2013</w:t>
      </w:r>
    </w:p>
    <w:p w14:paraId="11A6B79E" w14:textId="77777777" w:rsidR="00A50F05" w:rsidRPr="00A50F05" w:rsidRDefault="00A50F05" w:rsidP="00A50F05">
      <w:pPr>
        <w:pStyle w:val="Sinespaciado"/>
        <w:rPr>
          <w:sz w:val="20"/>
          <w:szCs w:val="20"/>
        </w:rPr>
      </w:pPr>
      <w:r w:rsidRPr="00A50F05">
        <w:rPr>
          <w:sz w:val="20"/>
          <w:szCs w:val="20"/>
        </w:rPr>
        <w:t>Fecha de Expedición: 13 de diciembre de 2013</w:t>
      </w:r>
    </w:p>
    <w:p w14:paraId="43DED608" w14:textId="77777777" w:rsidR="00A50F05" w:rsidRPr="00A50F05" w:rsidRDefault="00A50F05" w:rsidP="00A50F05">
      <w:pPr>
        <w:pStyle w:val="Sinespaciado"/>
        <w:rPr>
          <w:sz w:val="20"/>
          <w:szCs w:val="20"/>
        </w:rPr>
      </w:pPr>
      <w:r w:rsidRPr="00A50F05">
        <w:rPr>
          <w:sz w:val="20"/>
          <w:szCs w:val="20"/>
        </w:rPr>
        <w:t xml:space="preserve">Fecha de </w:t>
      </w:r>
      <w:proofErr w:type="gramStart"/>
      <w:r w:rsidRPr="00A50F05">
        <w:rPr>
          <w:sz w:val="20"/>
          <w:szCs w:val="20"/>
        </w:rPr>
        <w:t>entrada en vigencia</w:t>
      </w:r>
      <w:proofErr w:type="gramEnd"/>
      <w:r w:rsidRPr="00A50F05">
        <w:rPr>
          <w:sz w:val="20"/>
          <w:szCs w:val="20"/>
        </w:rPr>
        <w:t>: 13 de diciembre de 2013</w:t>
      </w:r>
    </w:p>
    <w:p w14:paraId="56C5BC22" w14:textId="77777777" w:rsidR="00A50F05" w:rsidRPr="00A50F05" w:rsidRDefault="00A50F05" w:rsidP="00A50F05">
      <w:pPr>
        <w:pStyle w:val="Sinespaciado"/>
        <w:rPr>
          <w:sz w:val="20"/>
          <w:szCs w:val="20"/>
        </w:rPr>
      </w:pPr>
      <w:r w:rsidRPr="00A50F05">
        <w:rPr>
          <w:sz w:val="20"/>
          <w:szCs w:val="20"/>
        </w:rPr>
        <w:t>Estado de la vigencia: derogada</w:t>
      </w:r>
    </w:p>
    <w:p w14:paraId="1ECE0882" w14:textId="77777777" w:rsidR="00A50F05" w:rsidRDefault="00A50F05" w:rsidP="00A50F05">
      <w:pPr>
        <w:pStyle w:val="Sinespaciado"/>
        <w:rPr>
          <w:sz w:val="20"/>
          <w:szCs w:val="20"/>
        </w:rPr>
      </w:pPr>
      <w:r w:rsidRPr="00A50F05">
        <w:rPr>
          <w:sz w:val="20"/>
          <w:szCs w:val="20"/>
        </w:rPr>
        <w:t>Nota: derogada por el artículo 6 de la Resolución 7460 de 2014</w:t>
      </w:r>
      <w:r w:rsidRPr="00A50F05">
        <w:rPr>
          <w:sz w:val="20"/>
          <w:szCs w:val="20"/>
        </w:rPr>
        <w:tab/>
      </w:r>
    </w:p>
    <w:p w14:paraId="0549902A" w14:textId="77777777" w:rsidR="00A50F05" w:rsidRDefault="00A50F05" w:rsidP="00A50F05">
      <w:pPr>
        <w:pStyle w:val="Sinespaciado"/>
        <w:rPr>
          <w:sz w:val="20"/>
          <w:szCs w:val="20"/>
        </w:rPr>
      </w:pPr>
    </w:p>
    <w:p w14:paraId="7ACF4C46" w14:textId="612937AB" w:rsidR="00A50F05" w:rsidRPr="00A50F05" w:rsidRDefault="00A50F05" w:rsidP="00A50F05">
      <w:pPr>
        <w:pStyle w:val="Sinespaciado"/>
        <w:rPr>
          <w:sz w:val="20"/>
          <w:szCs w:val="20"/>
        </w:rPr>
      </w:pPr>
      <w:r w:rsidRPr="00A50F05">
        <w:rPr>
          <w:sz w:val="20"/>
          <w:szCs w:val="20"/>
        </w:rPr>
        <w:t>Fecha de publicación en Diario Oficial:  4 de diciembre de 2013</w:t>
      </w:r>
    </w:p>
    <w:p w14:paraId="65925C75" w14:textId="7DAE1728" w:rsidR="00A50F05" w:rsidRDefault="00A50F05" w:rsidP="00A50F05">
      <w:pPr>
        <w:pStyle w:val="Sinespaciado"/>
        <w:rPr>
          <w:sz w:val="20"/>
          <w:szCs w:val="20"/>
        </w:rPr>
      </w:pPr>
      <w:r w:rsidRPr="00A50F05">
        <w:rPr>
          <w:sz w:val="20"/>
          <w:szCs w:val="20"/>
        </w:rPr>
        <w:t>Número del Diario Oficial: 48.894</w:t>
      </w:r>
    </w:p>
    <w:p w14:paraId="609FA4E7" w14:textId="77777777" w:rsidR="00A50F05" w:rsidRPr="00A50F05" w:rsidRDefault="00A50F05" w:rsidP="00A50F05">
      <w:pPr>
        <w:pStyle w:val="Sinespaciado"/>
        <w:rPr>
          <w:sz w:val="20"/>
          <w:szCs w:val="20"/>
        </w:rPr>
      </w:pPr>
    </w:p>
    <w:p w14:paraId="2B3FF797" w14:textId="27F4634E" w:rsidR="00732F7C" w:rsidRPr="00732F7C" w:rsidRDefault="00732F7C" w:rsidP="00732F7C">
      <w:pPr>
        <w:jc w:val="center"/>
      </w:pPr>
      <w:r w:rsidRPr="00732F7C">
        <w:rPr>
          <w:b/>
          <w:bCs/>
        </w:rPr>
        <w:t>RESOLUCIÓN 10374 DE 2013</w:t>
      </w:r>
    </w:p>
    <w:p w14:paraId="500A2F66" w14:textId="7D403C84" w:rsidR="00732F7C" w:rsidRPr="00732F7C" w:rsidRDefault="00732F7C" w:rsidP="00732F7C">
      <w:pPr>
        <w:jc w:val="center"/>
      </w:pPr>
      <w:r w:rsidRPr="00732F7C">
        <w:t>(</w:t>
      </w:r>
      <w:r>
        <w:t>1</w:t>
      </w:r>
      <w:r w:rsidRPr="00732F7C">
        <w:t>3</w:t>
      </w:r>
      <w:r>
        <w:t xml:space="preserve"> de diciembre</w:t>
      </w:r>
      <w:r w:rsidRPr="00732F7C">
        <w:t>)</w:t>
      </w:r>
    </w:p>
    <w:p w14:paraId="161E8458" w14:textId="77777777" w:rsidR="00732F7C" w:rsidRPr="00732F7C" w:rsidRDefault="00732F7C" w:rsidP="00732F7C">
      <w:pPr>
        <w:jc w:val="center"/>
      </w:pPr>
      <w:r w:rsidRPr="00732F7C">
        <w:rPr>
          <w:b/>
          <w:bCs/>
        </w:rPr>
        <w:t>INSTITUTO COLOMBIANO DE BIENESTAR FAMILIAR</w:t>
      </w:r>
    </w:p>
    <w:p w14:paraId="2BC7E156" w14:textId="77777777" w:rsidR="00732F7C" w:rsidRPr="00732F7C" w:rsidRDefault="00732F7C" w:rsidP="00732F7C">
      <w:pPr>
        <w:jc w:val="center"/>
      </w:pPr>
      <w:r w:rsidRPr="00732F7C">
        <w:rPr>
          <w:b/>
          <w:bCs/>
        </w:rPr>
        <w:t>DIRECCIÓN GENERAL</w:t>
      </w:r>
    </w:p>
    <w:p w14:paraId="730BFA71" w14:textId="77777777" w:rsidR="00732F7C" w:rsidRPr="00732F7C" w:rsidRDefault="00732F7C" w:rsidP="00732F7C">
      <w:pPr>
        <w:jc w:val="center"/>
      </w:pPr>
      <w:r w:rsidRPr="00732F7C">
        <w:t>Por la cual se autoriza la enajenación de bienes muebles clasificados como inservibles ubicados en la Sede de la Dirección General, a través del mecanismo de subasta pública.</w:t>
      </w:r>
    </w:p>
    <w:p w14:paraId="2D93A562" w14:textId="77777777" w:rsidR="00732F7C" w:rsidRPr="00732F7C" w:rsidRDefault="00732F7C" w:rsidP="00732F7C">
      <w:pPr>
        <w:jc w:val="center"/>
      </w:pPr>
      <w:r w:rsidRPr="00732F7C">
        <w:rPr>
          <w:b/>
          <w:bCs/>
        </w:rPr>
        <w:t>EL DIRECTOR DEL INSTITUTO COLOMBIANO DE BIENESTAR FAMILIAR CECILIA DE LA FUENTE DE LLERAS,</w:t>
      </w:r>
    </w:p>
    <w:p w14:paraId="143C5C79" w14:textId="035513E0" w:rsidR="00732F7C" w:rsidRPr="00732F7C" w:rsidRDefault="00732F7C" w:rsidP="00732F7C">
      <w:pPr>
        <w:jc w:val="center"/>
      </w:pPr>
      <w:r w:rsidRPr="00732F7C">
        <w:t>en uso de las facultades legales, especialmente las conferidas en la Ley 1150 de 2007, el Decreto Reglamentario 734 de 2012, la Resolución número 2690 de junio de 2012 y la Guía para la Gestión de los Bienes en el ICBF, y</w:t>
      </w:r>
    </w:p>
    <w:p w14:paraId="6AB44673" w14:textId="77777777" w:rsidR="00732F7C" w:rsidRPr="00732F7C" w:rsidRDefault="00732F7C" w:rsidP="00732F7C">
      <w:pPr>
        <w:jc w:val="center"/>
      </w:pPr>
      <w:r w:rsidRPr="00732F7C">
        <w:rPr>
          <w:b/>
          <w:bCs/>
        </w:rPr>
        <w:t>CONSIDERANDO:</w:t>
      </w:r>
    </w:p>
    <w:p w14:paraId="20FFA855" w14:textId="5F77B37B" w:rsidR="00732F7C" w:rsidRPr="00732F7C" w:rsidRDefault="00732F7C" w:rsidP="00732F7C">
      <w:pPr>
        <w:jc w:val="both"/>
      </w:pPr>
      <w:r w:rsidRPr="00732F7C">
        <w:t>Que de conformidad con el artículo 269 de la Constitución Política, las Entidades Públicas y las autoridades correspondientes están obligadas a diseñar y aplicar, según la naturaleza de sus funciones, métodos y procedimientos de control interno, y que con fundamento en los principios de eficacia y economía establecidos en el artículo 209 de la Constitución Política, se hace necesario, fortalecer el Control Interno sobre las propiedades, planta y equipo del Instituto.</w:t>
      </w:r>
    </w:p>
    <w:p w14:paraId="0AE996B4" w14:textId="77777777" w:rsidR="00732F7C" w:rsidRPr="00732F7C" w:rsidRDefault="00732F7C" w:rsidP="00732F7C">
      <w:pPr>
        <w:jc w:val="both"/>
      </w:pPr>
      <w:r w:rsidRPr="00732F7C">
        <w:t>Que teniendo en cuenta lo anterior, el ICBF adoptó la Guía para la Gestión de los bienes del Instituto, con la finalidad de desarrollar labores inherentes a la administración de los bienes muebles e inmuebles de su propiedad y de aquellos que reciba a cualquier otro título.</w:t>
      </w:r>
    </w:p>
    <w:p w14:paraId="3E47385B" w14:textId="2E56CC8B" w:rsidR="00732F7C" w:rsidRPr="00732F7C" w:rsidRDefault="00732F7C" w:rsidP="00732F7C">
      <w:pPr>
        <w:jc w:val="both"/>
      </w:pPr>
      <w:r w:rsidRPr="00732F7C">
        <w:t>Que el artículo 60 de la Ley 780 de 2002 establece, que cuando los órganos que conforman el Presupuesto General de la Nación, posean bienes muebles que en la actualidad no se estén utilizando o que no sean necesarios para el desarrollo normal de sus funciones, deberán adelantar todas las actividades tendientes a enajenarlos o arrendarlos.</w:t>
      </w:r>
    </w:p>
    <w:p w14:paraId="4D49C10B" w14:textId="4C1FEBBA" w:rsidR="00732F7C" w:rsidRPr="00732F7C" w:rsidRDefault="00732F7C" w:rsidP="00732F7C">
      <w:pPr>
        <w:jc w:val="both"/>
      </w:pPr>
      <w:r w:rsidRPr="00732F7C">
        <w:lastRenderedPageBreak/>
        <w:t>Que mediante el Decreto 734 de 2012, por el cual se reglamenta el Estatuto General de Contratación de la Administración Pública, se establecen los mecanismos para la enajenación de bienes del Estado.</w:t>
      </w:r>
    </w:p>
    <w:p w14:paraId="217F8F80" w14:textId="34DF2A26" w:rsidR="00732F7C" w:rsidRPr="00732F7C" w:rsidRDefault="00732F7C" w:rsidP="00732F7C">
      <w:pPr>
        <w:jc w:val="both"/>
      </w:pPr>
      <w:r w:rsidRPr="00732F7C">
        <w:t>Que el artículo 3.7.1.2 del Decreto número 734 de 2012, establece frente a la </w:t>
      </w:r>
      <w:r w:rsidRPr="00732F7C">
        <w:rPr>
          <w:i/>
          <w:iCs/>
        </w:rPr>
        <w:t>enajenación de bienes </w:t>
      </w:r>
      <w:r w:rsidRPr="00732F7C">
        <w:t xml:space="preserve">que, en los procesos de selección abreviada, la entidad podrá hacer uso de los mecanismos que se consagran en el citado decreto, atendiendo a las normas de transparencia, selección objetiva y eficiencia. Resalta </w:t>
      </w:r>
      <w:proofErr w:type="gramStart"/>
      <w:r w:rsidRPr="00732F7C">
        <w:t>que</w:t>
      </w:r>
      <w:proofErr w:type="gramEnd"/>
      <w:r w:rsidRPr="00732F7C">
        <w:t xml:space="preserve"> en todo caso, la convocatoria pública será regla general, y se aplicarán en lo pertinente las reglas del Título II del Decreto 734 de 2012, y las normas que lo modifiquen, adicionen o sustituyan, sin perjuicio de las reglas especiales establecidas. Igualmente anota que la entidad podrá realizar directamente la enajenación, o contratar para ello a promotores, bancas de inversión, martillos, comisionistas de bolsas de bienes y productos agropecuarios, agroindustriales o de otros </w:t>
      </w:r>
      <w:proofErr w:type="spellStart"/>
      <w:r w:rsidRPr="00732F7C">
        <w:t>comodities</w:t>
      </w:r>
      <w:proofErr w:type="spellEnd"/>
      <w:r w:rsidRPr="00732F7C">
        <w:t xml:space="preserve"> o cualquier otro intermediario idóneo, según corresponda al tipo de bien a enajenar.</w:t>
      </w:r>
    </w:p>
    <w:p w14:paraId="35B0E66F" w14:textId="7C9E3B9F" w:rsidR="00732F7C" w:rsidRPr="00732F7C" w:rsidRDefault="00732F7C" w:rsidP="00732F7C">
      <w:pPr>
        <w:jc w:val="both"/>
      </w:pPr>
      <w:r w:rsidRPr="00732F7C">
        <w:t>Que mediante Resolución número 3042 de 2012, se aprueba el Manual del Sistema integrado de Gestión versión 7.0 y se adoptan los Macroprocesos y Procesos del ICBF.</w:t>
      </w:r>
    </w:p>
    <w:p w14:paraId="5E850E5C" w14:textId="77777777" w:rsidR="00732F7C" w:rsidRPr="00732F7C" w:rsidRDefault="00732F7C" w:rsidP="00732F7C">
      <w:pPr>
        <w:jc w:val="both"/>
      </w:pPr>
      <w:proofErr w:type="gramStart"/>
      <w:r w:rsidRPr="00732F7C">
        <w:t>Que</w:t>
      </w:r>
      <w:proofErr w:type="gramEnd"/>
      <w:r w:rsidRPr="00732F7C">
        <w:t xml:space="preserve"> de conformidad con lo establecido con los estándares de calidad exigidos por la Dirección de Planeación y Control de Gestión del ICBF, la Dirección administrativa en su macroproceso cuenta con procedimientos internos y con la Guía de Gestión de Bienes, en los cuales se señala el </w:t>
      </w:r>
      <w:proofErr w:type="spellStart"/>
      <w:r w:rsidRPr="00732F7C">
        <w:t>tramite</w:t>
      </w:r>
      <w:proofErr w:type="spellEnd"/>
      <w:r w:rsidRPr="00732F7C">
        <w:t xml:space="preserve"> a seguir para definir la destinación y enajenación bienes muebles de su propiedad que no se requieran para su servicio.</w:t>
      </w:r>
    </w:p>
    <w:p w14:paraId="3184B7B0" w14:textId="77777777" w:rsidR="00732F7C" w:rsidRPr="00732F7C" w:rsidRDefault="00732F7C" w:rsidP="00732F7C">
      <w:pPr>
        <w:jc w:val="both"/>
      </w:pPr>
      <w:r w:rsidRPr="00732F7C">
        <w:t>Que dando cumplimiento al procedimiento número PR4 MPA1 P5 que define la destinación de bienes muebles y el trámite de baja definitiva de bienes muebles que no son requeridos para el desarrollo del servicio, establecido en el procedimiento. número PR6 MPA1 - P1, los bienes objeto de venta en la presente resolución han sido clasificados por grupos, de acuerdo con sus características y determinados por cantidad, valor unitario y valor total, como consta en el acta de inspección ocular en la cual se encuentran relacionados los bienes inservibles, obsoletos y/o no necesarios en veintinueve (29) folios con corte a 15 de octubre de 2013, suscrita por el almacenista y el encargado de bodega de la Sede de la Dirección General, la cual hace parte integral de la presente resolución.</w:t>
      </w:r>
    </w:p>
    <w:p w14:paraId="4B87B3BA" w14:textId="77777777" w:rsidR="00732F7C" w:rsidRPr="00732F7C" w:rsidRDefault="00732F7C" w:rsidP="00732F7C">
      <w:pPr>
        <w:jc w:val="both"/>
      </w:pPr>
      <w:r w:rsidRPr="00732F7C">
        <w:t xml:space="preserve">Que a 15 de octubre de 2013 se encuentra contabilizados algunos bienes muebles de la Sede de la Dirección General cuyo </w:t>
      </w:r>
      <w:proofErr w:type="gramStart"/>
      <w:r w:rsidRPr="00732F7C">
        <w:t>valor registrados</w:t>
      </w:r>
      <w:proofErr w:type="gramEnd"/>
      <w:r w:rsidRPr="00732F7C">
        <w:t xml:space="preserve"> en libros es de trescientos treinta y seis millones, ochenta y cinco mil ciento noventa y nueve pesos con setenta y un centavos ($336.085.199,71) los cuales son considerados como elementos inservibles.</w:t>
      </w:r>
    </w:p>
    <w:p w14:paraId="3006C9C7" w14:textId="77777777" w:rsidR="00732F7C" w:rsidRPr="00732F7C" w:rsidRDefault="00732F7C" w:rsidP="00732F7C">
      <w:pPr>
        <w:jc w:val="both"/>
      </w:pPr>
      <w:r w:rsidRPr="00732F7C">
        <w:t xml:space="preserve">Que la </w:t>
      </w:r>
      <w:proofErr w:type="gramStart"/>
      <w:r w:rsidRPr="00732F7C">
        <w:t>Directora</w:t>
      </w:r>
      <w:proofErr w:type="gramEnd"/>
      <w:r w:rsidRPr="00732F7C">
        <w:t xml:space="preserve"> Administrativa, teniendo en cuenta el concepto del </w:t>
      </w:r>
      <w:r w:rsidRPr="00732F7C">
        <w:rPr>
          <w:i/>
          <w:iCs/>
        </w:rPr>
        <w:t>Acta de Inspección Ocular </w:t>
      </w:r>
      <w:r w:rsidRPr="00732F7C">
        <w:t xml:space="preserve">del 15 de octubre de 2013, suscrito por los servidores </w:t>
      </w:r>
      <w:r w:rsidRPr="00732F7C">
        <w:lastRenderedPageBreak/>
        <w:t>públicos, Roberto Osorio Vargas y María del Rosario Viana Delgado, en su condición de almacenista y encargada de Bodega de la Sede de la Dirección General respectivamente, mediante certificación de fecha del 15 de octubre de 2013, hace constar que estos bienes no son necesarios para el normal funcionamiento de la entidad.</w:t>
      </w:r>
    </w:p>
    <w:p w14:paraId="0F779DA7" w14:textId="2BB2E660" w:rsidR="00732F7C" w:rsidRPr="00732F7C" w:rsidRDefault="00732F7C" w:rsidP="00732F7C">
      <w:pPr>
        <w:jc w:val="both"/>
      </w:pPr>
      <w:r w:rsidRPr="00732F7C">
        <w:t>Que en virtud de lo dispuesto en el Decreto 734 de 2012, el ICBF suscribió el contrato número 1531 de 2013 con el Banco Popular S. A., el cual tiene como objeto contratar la prestación de servicios para la Intermediación Comercial tendiente al logro y perfeccionamiento de la enajenación mediante procedimientos de subasta pública de los bienes muebles e inmuebles, de propiedad del Instituto colombiano de bienestar familiar – ICBF, en todo el territorio nacional, y en el cual establece la cláusula segunda que su objeto incluye la asesoría en la creación de los lotes y la estimación de su precio mínimo de venta con base en las condiciones de mercado, el estado de los bienes muebles y el registro en libros.</w:t>
      </w:r>
    </w:p>
    <w:p w14:paraId="7AE7D8A5" w14:textId="77777777" w:rsidR="00732F7C" w:rsidRPr="00732F7C" w:rsidRDefault="00732F7C" w:rsidP="00732F7C">
      <w:pPr>
        <w:jc w:val="both"/>
      </w:pPr>
      <w:r w:rsidRPr="00732F7C">
        <w:t>Por lo anteriormente expuesto,</w:t>
      </w:r>
    </w:p>
    <w:p w14:paraId="2B6F2F00" w14:textId="77777777" w:rsidR="00732F7C" w:rsidRPr="00732F7C" w:rsidRDefault="00732F7C" w:rsidP="00732F7C">
      <w:pPr>
        <w:jc w:val="center"/>
      </w:pPr>
      <w:r w:rsidRPr="00732F7C">
        <w:rPr>
          <w:b/>
          <w:bCs/>
        </w:rPr>
        <w:t>RESUELVE:</w:t>
      </w:r>
    </w:p>
    <w:p w14:paraId="636ACC9E" w14:textId="46542AAA" w:rsidR="00732F7C" w:rsidRPr="00732F7C" w:rsidRDefault="00732F7C" w:rsidP="00732F7C">
      <w:pPr>
        <w:jc w:val="both"/>
      </w:pPr>
      <w:bookmarkStart w:id="0" w:name="1"/>
      <w:r w:rsidRPr="00732F7C">
        <w:rPr>
          <w:b/>
          <w:bCs/>
        </w:rPr>
        <w:t>ARTÍCULO 1o.</w:t>
      </w:r>
      <w:bookmarkEnd w:id="0"/>
      <w:r w:rsidRPr="00732F7C">
        <w:t> </w:t>
      </w:r>
      <w:r w:rsidR="00A50F05">
        <w:rPr>
          <w:b/>
          <w:bCs/>
        </w:rPr>
        <w:t>[</w:t>
      </w:r>
      <w:r w:rsidRPr="00732F7C">
        <w:rPr>
          <w:b/>
          <w:bCs/>
        </w:rPr>
        <w:t>Resolución derogada por el artículo </w:t>
      </w:r>
      <w:r w:rsidRPr="00732F7C">
        <w:t>6</w:t>
      </w:r>
      <w:r w:rsidRPr="00732F7C">
        <w:rPr>
          <w:b/>
          <w:bCs/>
        </w:rPr>
        <w:t> de la Resolución 7460 de 2014</w:t>
      </w:r>
      <w:r w:rsidR="00A50F05">
        <w:rPr>
          <w:b/>
          <w:bCs/>
        </w:rPr>
        <w:t>]</w:t>
      </w:r>
      <w:r w:rsidRPr="00732F7C">
        <w:rPr>
          <w:b/>
          <w:bCs/>
        </w:rPr>
        <w:t> </w:t>
      </w:r>
      <w:r w:rsidRPr="00732F7C">
        <w:t xml:space="preserve">Autorizar la enajenación de los bienes muebles considerados inservibles ubicados en la Av. Calle 68 No. 64C-75 y en la </w:t>
      </w:r>
      <w:proofErr w:type="spellStart"/>
      <w:r w:rsidRPr="00732F7C">
        <w:t>Cll</w:t>
      </w:r>
      <w:proofErr w:type="spellEnd"/>
      <w:r w:rsidRPr="00732F7C">
        <w:t xml:space="preserve">. 67 </w:t>
      </w:r>
      <w:proofErr w:type="gramStart"/>
      <w:r w:rsidRPr="00732F7C">
        <w:t>No</w:t>
      </w:r>
      <w:proofErr w:type="gramEnd"/>
      <w:r w:rsidRPr="00732F7C">
        <w:t>. 12ª-32 de la ciudad de Bogotá, y descritos en la </w:t>
      </w:r>
      <w:r w:rsidRPr="00732F7C">
        <w:rPr>
          <w:i/>
          <w:iCs/>
        </w:rPr>
        <w:t>Relación de bienes inservibles, obsoletos y/o no necesarios con corte a </w:t>
      </w:r>
      <w:r w:rsidRPr="00732F7C">
        <w:t>15 de octubre de 2013, Bodega de Inservibles – número </w:t>
      </w:r>
      <w:r w:rsidRPr="00732F7C">
        <w:rPr>
          <w:b/>
          <w:bCs/>
        </w:rPr>
        <w:t>1003</w:t>
      </w:r>
      <w:r w:rsidRPr="00732F7C">
        <w:t>, de acuerdo al precio mínimo de venta fijado por el promotor, a través del mecanismo de subasta pública de conformidad con lo dispuesto en el artículo 3.7.2.3 y sub siguientes del Decreto 734 de 2012.</w:t>
      </w:r>
    </w:p>
    <w:p w14:paraId="1338BD64" w14:textId="45D77605" w:rsidR="00732F7C" w:rsidRPr="00732F7C" w:rsidRDefault="00732F7C" w:rsidP="00732F7C">
      <w:pPr>
        <w:jc w:val="both"/>
      </w:pPr>
      <w:bookmarkStart w:id="1" w:name="2"/>
      <w:r w:rsidRPr="00732F7C">
        <w:rPr>
          <w:b/>
          <w:bCs/>
        </w:rPr>
        <w:t>ARTÍCULO 2o.</w:t>
      </w:r>
      <w:bookmarkEnd w:id="1"/>
      <w:r w:rsidRPr="00732F7C">
        <w:t> </w:t>
      </w:r>
      <w:r w:rsidR="00A50F05">
        <w:rPr>
          <w:b/>
          <w:bCs/>
        </w:rPr>
        <w:t>[</w:t>
      </w:r>
      <w:r w:rsidRPr="00732F7C">
        <w:rPr>
          <w:b/>
          <w:bCs/>
        </w:rPr>
        <w:t>Resolución derogada por el artículo </w:t>
      </w:r>
      <w:r w:rsidRPr="00732F7C">
        <w:t>6</w:t>
      </w:r>
      <w:r w:rsidRPr="00732F7C">
        <w:rPr>
          <w:b/>
          <w:bCs/>
        </w:rPr>
        <w:t> de la Resolución 7460 de 2014</w:t>
      </w:r>
      <w:r w:rsidR="00A50F05">
        <w:rPr>
          <w:b/>
          <w:bCs/>
        </w:rPr>
        <w:t>]</w:t>
      </w:r>
      <w:r w:rsidRPr="00732F7C">
        <w:rPr>
          <w:b/>
          <w:bCs/>
        </w:rPr>
        <w:t> </w:t>
      </w:r>
      <w:r w:rsidRPr="00732F7C">
        <w:t>Una vez se perfeccione la enajenación por subasta pública serán dados de baja definitiva los bienes muebles inservibles en el sistema de información SEVEN/ERP, movimiento que afectará los saldos contables por valor de trescientos treinta y seis millones ochenta y cinco mil ciento noventa y nueve pesos con setenta y un centavos ($336.085.199,71) moneda corriente; elementos que previamente fueron identificados en el acta de inspección ocular con la relación de bienes inservibles, obsoletos y/o no necesarios con corte a 15 de octubre de 2013 en veintinueve (29) folios, Bodega de Inservibles -1003, la cual forma parte integral de la presente resolución, y que se encuentran físicamente en las bodegas de la Sede de la Dirección General, determinados por Grupo, Placa, Elemento, Serial, Marca, Modelo, Costo Histórico y Depreciación.</w:t>
      </w:r>
    </w:p>
    <w:p w14:paraId="02C65FB4" w14:textId="77777777" w:rsidR="00732F7C" w:rsidRPr="00732F7C" w:rsidRDefault="00732F7C" w:rsidP="00732F7C">
      <w:pPr>
        <w:jc w:val="both"/>
      </w:pPr>
      <w:r w:rsidRPr="00732F7C">
        <w:t>Lo anterior, por cuanto dichos elementos no se requieren para el servicio de la Sede de la Dirección General ni de las Direcciones Regionales del ICBF, de conformidad con lo expuesto en la parte motiva de la presente Resolución, los cuales relacionamos a continuación:</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676"/>
        <w:gridCol w:w="1511"/>
        <w:gridCol w:w="1511"/>
        <w:gridCol w:w="1458"/>
        <w:gridCol w:w="1231"/>
        <w:gridCol w:w="1325"/>
        <w:gridCol w:w="1126"/>
      </w:tblGrid>
      <w:tr w:rsidR="00732F7C" w:rsidRPr="00732F7C" w14:paraId="6D593FA7"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0F521C9D" w14:textId="77777777" w:rsidR="00732F7C" w:rsidRPr="00732F7C" w:rsidRDefault="00732F7C" w:rsidP="00732F7C">
            <w:pPr>
              <w:jc w:val="both"/>
            </w:pPr>
            <w:r w:rsidRPr="00732F7C">
              <w:rPr>
                <w:b/>
                <w:bCs/>
              </w:rPr>
              <w:lastRenderedPageBreak/>
              <w:t>Bodega</w:t>
            </w:r>
          </w:p>
        </w:tc>
        <w:tc>
          <w:tcPr>
            <w:tcW w:w="400" w:type="pct"/>
            <w:tcBorders>
              <w:top w:val="nil"/>
              <w:left w:val="nil"/>
              <w:bottom w:val="nil"/>
              <w:right w:val="nil"/>
            </w:tcBorders>
            <w:tcMar>
              <w:top w:w="0" w:type="dxa"/>
              <w:left w:w="0" w:type="dxa"/>
              <w:bottom w:w="0" w:type="dxa"/>
              <w:right w:w="0" w:type="dxa"/>
            </w:tcMar>
            <w:hideMark/>
          </w:tcPr>
          <w:p w14:paraId="5C206A8F" w14:textId="77777777" w:rsidR="00732F7C" w:rsidRPr="00732F7C" w:rsidRDefault="00732F7C" w:rsidP="00732F7C">
            <w:pPr>
              <w:jc w:val="both"/>
            </w:pPr>
            <w:r w:rsidRPr="00732F7C">
              <w:rPr>
                <w:b/>
                <w:bCs/>
              </w:rPr>
              <w:t>Agrupación</w:t>
            </w:r>
          </w:p>
        </w:tc>
        <w:tc>
          <w:tcPr>
            <w:tcW w:w="1000" w:type="pct"/>
            <w:tcBorders>
              <w:top w:val="nil"/>
              <w:left w:val="nil"/>
              <w:bottom w:val="nil"/>
              <w:right w:val="nil"/>
            </w:tcBorders>
            <w:tcMar>
              <w:top w:w="0" w:type="dxa"/>
              <w:left w:w="0" w:type="dxa"/>
              <w:bottom w:w="0" w:type="dxa"/>
              <w:right w:w="0" w:type="dxa"/>
            </w:tcMar>
            <w:hideMark/>
          </w:tcPr>
          <w:p w14:paraId="62A4D147" w14:textId="77777777" w:rsidR="00732F7C" w:rsidRPr="00732F7C" w:rsidRDefault="00732F7C" w:rsidP="00732F7C">
            <w:pPr>
              <w:jc w:val="both"/>
            </w:pPr>
            <w:r w:rsidRPr="00732F7C">
              <w:rPr>
                <w:b/>
                <w:bCs/>
              </w:rPr>
              <w:t>Nombre de Agrupación</w:t>
            </w:r>
          </w:p>
        </w:tc>
        <w:tc>
          <w:tcPr>
            <w:tcW w:w="900" w:type="pct"/>
            <w:tcBorders>
              <w:top w:val="nil"/>
              <w:left w:val="nil"/>
              <w:bottom w:val="nil"/>
              <w:right w:val="nil"/>
            </w:tcBorders>
            <w:tcMar>
              <w:top w:w="0" w:type="dxa"/>
              <w:left w:w="0" w:type="dxa"/>
              <w:bottom w:w="0" w:type="dxa"/>
              <w:right w:w="0" w:type="dxa"/>
            </w:tcMar>
            <w:hideMark/>
          </w:tcPr>
          <w:p w14:paraId="67FD8F1F" w14:textId="77777777" w:rsidR="00732F7C" w:rsidRPr="00732F7C" w:rsidRDefault="00732F7C" w:rsidP="00732F7C">
            <w:pPr>
              <w:jc w:val="both"/>
            </w:pPr>
            <w:r w:rsidRPr="00732F7C">
              <w:rPr>
                <w:b/>
                <w:bCs/>
              </w:rPr>
              <w:t>Costo Histórico</w:t>
            </w:r>
          </w:p>
        </w:tc>
        <w:tc>
          <w:tcPr>
            <w:tcW w:w="850" w:type="pct"/>
            <w:tcBorders>
              <w:top w:val="nil"/>
              <w:left w:val="nil"/>
              <w:bottom w:val="nil"/>
              <w:right w:val="nil"/>
            </w:tcBorders>
            <w:tcMar>
              <w:top w:w="0" w:type="dxa"/>
              <w:left w:w="0" w:type="dxa"/>
              <w:bottom w:w="0" w:type="dxa"/>
              <w:right w:w="0" w:type="dxa"/>
            </w:tcMar>
            <w:hideMark/>
          </w:tcPr>
          <w:p w14:paraId="05687B8C" w14:textId="77777777" w:rsidR="00732F7C" w:rsidRPr="00732F7C" w:rsidRDefault="00732F7C" w:rsidP="00732F7C">
            <w:pPr>
              <w:jc w:val="both"/>
            </w:pPr>
            <w:r w:rsidRPr="00732F7C">
              <w:rPr>
                <w:b/>
                <w:bCs/>
              </w:rPr>
              <w:t>Depreciación Acumulada</w:t>
            </w:r>
          </w:p>
        </w:tc>
        <w:tc>
          <w:tcPr>
            <w:tcW w:w="800" w:type="pct"/>
            <w:tcBorders>
              <w:top w:val="nil"/>
              <w:left w:val="nil"/>
              <w:bottom w:val="nil"/>
              <w:right w:val="nil"/>
            </w:tcBorders>
            <w:tcMar>
              <w:top w:w="0" w:type="dxa"/>
              <w:left w:w="0" w:type="dxa"/>
              <w:bottom w:w="0" w:type="dxa"/>
              <w:right w:w="0" w:type="dxa"/>
            </w:tcMar>
            <w:hideMark/>
          </w:tcPr>
          <w:p w14:paraId="145850D3" w14:textId="77777777" w:rsidR="00732F7C" w:rsidRPr="00732F7C" w:rsidRDefault="00732F7C" w:rsidP="00732F7C">
            <w:pPr>
              <w:jc w:val="both"/>
            </w:pPr>
            <w:r w:rsidRPr="00732F7C">
              <w:rPr>
                <w:b/>
                <w:bCs/>
              </w:rPr>
              <w:t>Saldo en Libros</w:t>
            </w:r>
          </w:p>
        </w:tc>
        <w:tc>
          <w:tcPr>
            <w:tcW w:w="700" w:type="pct"/>
            <w:tcBorders>
              <w:top w:val="nil"/>
              <w:left w:val="nil"/>
              <w:bottom w:val="nil"/>
              <w:right w:val="nil"/>
            </w:tcBorders>
            <w:tcMar>
              <w:top w:w="0" w:type="dxa"/>
              <w:left w:w="0" w:type="dxa"/>
              <w:bottom w:w="0" w:type="dxa"/>
              <w:right w:w="0" w:type="dxa"/>
            </w:tcMar>
            <w:hideMark/>
          </w:tcPr>
          <w:p w14:paraId="1B217384" w14:textId="77777777" w:rsidR="00732F7C" w:rsidRPr="00732F7C" w:rsidRDefault="00732F7C" w:rsidP="00732F7C">
            <w:pPr>
              <w:jc w:val="both"/>
            </w:pPr>
            <w:r w:rsidRPr="00732F7C">
              <w:rPr>
                <w:b/>
                <w:bCs/>
              </w:rPr>
              <w:t>% de</w:t>
            </w:r>
            <w:r w:rsidRPr="00732F7C">
              <w:rPr>
                <w:b/>
                <w:bCs/>
              </w:rPr>
              <w:br/>
              <w:t>Depreciación</w:t>
            </w:r>
          </w:p>
        </w:tc>
      </w:tr>
      <w:tr w:rsidR="00732F7C" w:rsidRPr="00732F7C" w14:paraId="631FE53D"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13EBEC6C"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5CD99D5C" w14:textId="77777777" w:rsidR="00732F7C" w:rsidRPr="00732F7C" w:rsidRDefault="00732F7C" w:rsidP="00732F7C">
            <w:pPr>
              <w:jc w:val="both"/>
            </w:pPr>
            <w:r w:rsidRPr="00732F7C">
              <w:t>202</w:t>
            </w:r>
          </w:p>
        </w:tc>
        <w:tc>
          <w:tcPr>
            <w:tcW w:w="1000" w:type="pct"/>
            <w:tcBorders>
              <w:top w:val="nil"/>
              <w:left w:val="nil"/>
              <w:bottom w:val="nil"/>
              <w:right w:val="nil"/>
            </w:tcBorders>
            <w:tcMar>
              <w:top w:w="0" w:type="dxa"/>
              <w:left w:w="0" w:type="dxa"/>
              <w:bottom w:w="0" w:type="dxa"/>
              <w:right w:w="0" w:type="dxa"/>
            </w:tcMar>
            <w:hideMark/>
          </w:tcPr>
          <w:p w14:paraId="2376C01E" w14:textId="77777777" w:rsidR="00732F7C" w:rsidRPr="00732F7C" w:rsidRDefault="00732F7C" w:rsidP="00732F7C">
            <w:pPr>
              <w:jc w:val="both"/>
            </w:pPr>
            <w:r w:rsidRPr="00732F7C">
              <w:t>Obras de Arte y Decoraciones Institucionales</w:t>
            </w:r>
          </w:p>
        </w:tc>
        <w:tc>
          <w:tcPr>
            <w:tcW w:w="900" w:type="pct"/>
            <w:tcBorders>
              <w:top w:val="nil"/>
              <w:left w:val="nil"/>
              <w:bottom w:val="nil"/>
              <w:right w:val="nil"/>
            </w:tcBorders>
            <w:tcMar>
              <w:top w:w="0" w:type="dxa"/>
              <w:left w:w="0" w:type="dxa"/>
              <w:bottom w:w="0" w:type="dxa"/>
              <w:right w:w="0" w:type="dxa"/>
            </w:tcMar>
            <w:hideMark/>
          </w:tcPr>
          <w:p w14:paraId="1DB515BE" w14:textId="77777777" w:rsidR="00732F7C" w:rsidRPr="00732F7C" w:rsidRDefault="00732F7C" w:rsidP="00732F7C">
            <w:pPr>
              <w:jc w:val="both"/>
            </w:pPr>
            <w:r w:rsidRPr="00732F7C">
              <w:t>$ 533.612.00</w:t>
            </w:r>
          </w:p>
        </w:tc>
        <w:tc>
          <w:tcPr>
            <w:tcW w:w="850" w:type="pct"/>
            <w:tcBorders>
              <w:top w:val="nil"/>
              <w:left w:val="nil"/>
              <w:bottom w:val="nil"/>
              <w:right w:val="nil"/>
            </w:tcBorders>
            <w:tcMar>
              <w:top w:w="0" w:type="dxa"/>
              <w:left w:w="0" w:type="dxa"/>
              <w:bottom w:w="0" w:type="dxa"/>
              <w:right w:w="0" w:type="dxa"/>
            </w:tcMar>
            <w:hideMark/>
          </w:tcPr>
          <w:p w14:paraId="470FE181" w14:textId="77777777" w:rsidR="00732F7C" w:rsidRPr="00732F7C" w:rsidRDefault="00732F7C" w:rsidP="00732F7C">
            <w:pPr>
              <w:jc w:val="both"/>
            </w:pPr>
            <w:r w:rsidRPr="00732F7C">
              <w:t>$ -</w:t>
            </w:r>
          </w:p>
        </w:tc>
        <w:tc>
          <w:tcPr>
            <w:tcW w:w="800" w:type="pct"/>
            <w:tcBorders>
              <w:top w:val="nil"/>
              <w:left w:val="nil"/>
              <w:bottom w:val="nil"/>
              <w:right w:val="nil"/>
            </w:tcBorders>
            <w:tcMar>
              <w:top w:w="0" w:type="dxa"/>
              <w:left w:w="0" w:type="dxa"/>
              <w:bottom w:w="0" w:type="dxa"/>
              <w:right w:w="0" w:type="dxa"/>
            </w:tcMar>
            <w:hideMark/>
          </w:tcPr>
          <w:p w14:paraId="474AF6A4" w14:textId="77777777" w:rsidR="00732F7C" w:rsidRPr="00732F7C" w:rsidRDefault="00732F7C" w:rsidP="00732F7C">
            <w:pPr>
              <w:jc w:val="both"/>
            </w:pPr>
            <w:r w:rsidRPr="00732F7C">
              <w:t>$ 533.612.00</w:t>
            </w:r>
          </w:p>
        </w:tc>
        <w:tc>
          <w:tcPr>
            <w:tcW w:w="700" w:type="pct"/>
            <w:tcBorders>
              <w:top w:val="nil"/>
              <w:left w:val="nil"/>
              <w:bottom w:val="nil"/>
              <w:right w:val="nil"/>
            </w:tcBorders>
            <w:tcMar>
              <w:top w:w="0" w:type="dxa"/>
              <w:left w:w="0" w:type="dxa"/>
              <w:bottom w:w="0" w:type="dxa"/>
              <w:right w:w="0" w:type="dxa"/>
            </w:tcMar>
            <w:hideMark/>
          </w:tcPr>
          <w:p w14:paraId="21E4D72F" w14:textId="77777777" w:rsidR="00732F7C" w:rsidRPr="00732F7C" w:rsidRDefault="00732F7C" w:rsidP="00732F7C">
            <w:pPr>
              <w:jc w:val="both"/>
            </w:pPr>
            <w:r w:rsidRPr="00732F7C">
              <w:t>0.00%</w:t>
            </w:r>
          </w:p>
        </w:tc>
      </w:tr>
      <w:tr w:rsidR="00732F7C" w:rsidRPr="00732F7C" w14:paraId="32429690"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59AA33B8"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718EFC86" w14:textId="77777777" w:rsidR="00732F7C" w:rsidRPr="00732F7C" w:rsidRDefault="00732F7C" w:rsidP="00732F7C">
            <w:pPr>
              <w:jc w:val="both"/>
            </w:pPr>
            <w:r w:rsidRPr="00732F7C">
              <w:t>203</w:t>
            </w:r>
          </w:p>
        </w:tc>
        <w:tc>
          <w:tcPr>
            <w:tcW w:w="1000" w:type="pct"/>
            <w:tcBorders>
              <w:top w:val="nil"/>
              <w:left w:val="nil"/>
              <w:bottom w:val="nil"/>
              <w:right w:val="nil"/>
            </w:tcBorders>
            <w:tcMar>
              <w:top w:w="0" w:type="dxa"/>
              <w:left w:w="0" w:type="dxa"/>
              <w:bottom w:w="0" w:type="dxa"/>
              <w:right w:w="0" w:type="dxa"/>
            </w:tcMar>
            <w:hideMark/>
          </w:tcPr>
          <w:p w14:paraId="157A82FD" w14:textId="77777777" w:rsidR="00732F7C" w:rsidRPr="00732F7C" w:rsidRDefault="00732F7C" w:rsidP="00732F7C">
            <w:pPr>
              <w:jc w:val="both"/>
            </w:pPr>
            <w:r w:rsidRPr="00732F7C">
              <w:t>Equipo procesamiento de datos hardware</w:t>
            </w:r>
          </w:p>
        </w:tc>
        <w:tc>
          <w:tcPr>
            <w:tcW w:w="900" w:type="pct"/>
            <w:tcBorders>
              <w:top w:val="nil"/>
              <w:left w:val="nil"/>
              <w:bottom w:val="nil"/>
              <w:right w:val="nil"/>
            </w:tcBorders>
            <w:tcMar>
              <w:top w:w="0" w:type="dxa"/>
              <w:left w:w="0" w:type="dxa"/>
              <w:bottom w:w="0" w:type="dxa"/>
              <w:right w:w="0" w:type="dxa"/>
            </w:tcMar>
            <w:hideMark/>
          </w:tcPr>
          <w:p w14:paraId="17FFE361" w14:textId="77777777" w:rsidR="00732F7C" w:rsidRPr="00732F7C" w:rsidRDefault="00732F7C" w:rsidP="00732F7C">
            <w:pPr>
              <w:jc w:val="both"/>
            </w:pPr>
            <w:r w:rsidRPr="00732F7C">
              <w:t>$ 1.023.307.143.93</w:t>
            </w:r>
          </w:p>
        </w:tc>
        <w:tc>
          <w:tcPr>
            <w:tcW w:w="850" w:type="pct"/>
            <w:tcBorders>
              <w:top w:val="nil"/>
              <w:left w:val="nil"/>
              <w:bottom w:val="nil"/>
              <w:right w:val="nil"/>
            </w:tcBorders>
            <w:tcMar>
              <w:top w:w="0" w:type="dxa"/>
              <w:left w:w="0" w:type="dxa"/>
              <w:bottom w:w="0" w:type="dxa"/>
              <w:right w:w="0" w:type="dxa"/>
            </w:tcMar>
            <w:hideMark/>
          </w:tcPr>
          <w:p w14:paraId="4EC2ADF2" w14:textId="77777777" w:rsidR="00732F7C" w:rsidRPr="00732F7C" w:rsidRDefault="00732F7C" w:rsidP="00732F7C">
            <w:pPr>
              <w:jc w:val="both"/>
            </w:pPr>
            <w:r w:rsidRPr="00732F7C">
              <w:t>$ 889.321.704.77</w:t>
            </w:r>
          </w:p>
        </w:tc>
        <w:tc>
          <w:tcPr>
            <w:tcW w:w="800" w:type="pct"/>
            <w:tcBorders>
              <w:top w:val="nil"/>
              <w:left w:val="nil"/>
              <w:bottom w:val="nil"/>
              <w:right w:val="nil"/>
            </w:tcBorders>
            <w:tcMar>
              <w:top w:w="0" w:type="dxa"/>
              <w:left w:w="0" w:type="dxa"/>
              <w:bottom w:w="0" w:type="dxa"/>
              <w:right w:w="0" w:type="dxa"/>
            </w:tcMar>
            <w:hideMark/>
          </w:tcPr>
          <w:p w14:paraId="1D97EF1D" w14:textId="77777777" w:rsidR="00732F7C" w:rsidRPr="00732F7C" w:rsidRDefault="00732F7C" w:rsidP="00732F7C">
            <w:pPr>
              <w:jc w:val="both"/>
            </w:pPr>
            <w:r w:rsidRPr="00732F7C">
              <w:t>$133.985.439.16</w:t>
            </w:r>
          </w:p>
        </w:tc>
        <w:tc>
          <w:tcPr>
            <w:tcW w:w="700" w:type="pct"/>
            <w:tcBorders>
              <w:top w:val="nil"/>
              <w:left w:val="nil"/>
              <w:bottom w:val="nil"/>
              <w:right w:val="nil"/>
            </w:tcBorders>
            <w:tcMar>
              <w:top w:w="0" w:type="dxa"/>
              <w:left w:w="0" w:type="dxa"/>
              <w:bottom w:w="0" w:type="dxa"/>
              <w:right w:w="0" w:type="dxa"/>
            </w:tcMar>
            <w:hideMark/>
          </w:tcPr>
          <w:p w14:paraId="68BCE8F9" w14:textId="77777777" w:rsidR="00732F7C" w:rsidRPr="00732F7C" w:rsidRDefault="00732F7C" w:rsidP="00732F7C">
            <w:pPr>
              <w:jc w:val="both"/>
            </w:pPr>
            <w:r w:rsidRPr="00732F7C">
              <w:t>86.91%</w:t>
            </w:r>
          </w:p>
        </w:tc>
      </w:tr>
      <w:tr w:rsidR="00732F7C" w:rsidRPr="00732F7C" w14:paraId="76E01026"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3F96E0B0"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1A3699A1" w14:textId="77777777" w:rsidR="00732F7C" w:rsidRPr="00732F7C" w:rsidRDefault="00732F7C" w:rsidP="00732F7C">
            <w:pPr>
              <w:jc w:val="both"/>
            </w:pPr>
            <w:r w:rsidRPr="00732F7C">
              <w:t>206</w:t>
            </w:r>
          </w:p>
        </w:tc>
        <w:tc>
          <w:tcPr>
            <w:tcW w:w="1000" w:type="pct"/>
            <w:tcBorders>
              <w:top w:val="nil"/>
              <w:left w:val="nil"/>
              <w:bottom w:val="nil"/>
              <w:right w:val="nil"/>
            </w:tcBorders>
            <w:tcMar>
              <w:top w:w="0" w:type="dxa"/>
              <w:left w:w="0" w:type="dxa"/>
              <w:bottom w:w="0" w:type="dxa"/>
              <w:right w:w="0" w:type="dxa"/>
            </w:tcMar>
            <w:hideMark/>
          </w:tcPr>
          <w:p w14:paraId="3BB07939" w14:textId="77777777" w:rsidR="00732F7C" w:rsidRPr="00732F7C" w:rsidRDefault="00732F7C" w:rsidP="00732F7C">
            <w:pPr>
              <w:jc w:val="both"/>
            </w:pPr>
            <w:r w:rsidRPr="00732F7C">
              <w:t>Equipos y máquinas para comedor. Cocina despensa</w:t>
            </w:r>
          </w:p>
        </w:tc>
        <w:tc>
          <w:tcPr>
            <w:tcW w:w="900" w:type="pct"/>
            <w:tcBorders>
              <w:top w:val="nil"/>
              <w:left w:val="nil"/>
              <w:bottom w:val="nil"/>
              <w:right w:val="nil"/>
            </w:tcBorders>
            <w:tcMar>
              <w:top w:w="0" w:type="dxa"/>
              <w:left w:w="0" w:type="dxa"/>
              <w:bottom w:w="0" w:type="dxa"/>
              <w:right w:w="0" w:type="dxa"/>
            </w:tcMar>
            <w:hideMark/>
          </w:tcPr>
          <w:p w14:paraId="7C276156" w14:textId="77777777" w:rsidR="00732F7C" w:rsidRPr="00732F7C" w:rsidRDefault="00732F7C" w:rsidP="00732F7C">
            <w:pPr>
              <w:jc w:val="both"/>
            </w:pPr>
            <w:r w:rsidRPr="00732F7C">
              <w:t>$ 17.928.396.00</w:t>
            </w:r>
          </w:p>
        </w:tc>
        <w:tc>
          <w:tcPr>
            <w:tcW w:w="850" w:type="pct"/>
            <w:tcBorders>
              <w:top w:val="nil"/>
              <w:left w:val="nil"/>
              <w:bottom w:val="nil"/>
              <w:right w:val="nil"/>
            </w:tcBorders>
            <w:tcMar>
              <w:top w:w="0" w:type="dxa"/>
              <w:left w:w="0" w:type="dxa"/>
              <w:bottom w:w="0" w:type="dxa"/>
              <w:right w:w="0" w:type="dxa"/>
            </w:tcMar>
            <w:hideMark/>
          </w:tcPr>
          <w:p w14:paraId="0DCE1416" w14:textId="77777777" w:rsidR="00732F7C" w:rsidRPr="00732F7C" w:rsidRDefault="00732F7C" w:rsidP="00732F7C">
            <w:pPr>
              <w:jc w:val="both"/>
            </w:pPr>
            <w:r w:rsidRPr="00732F7C">
              <w:t>$ 16.631.559.00</w:t>
            </w:r>
          </w:p>
        </w:tc>
        <w:tc>
          <w:tcPr>
            <w:tcW w:w="800" w:type="pct"/>
            <w:tcBorders>
              <w:top w:val="nil"/>
              <w:left w:val="nil"/>
              <w:bottom w:val="nil"/>
              <w:right w:val="nil"/>
            </w:tcBorders>
            <w:tcMar>
              <w:top w:w="0" w:type="dxa"/>
              <w:left w:w="0" w:type="dxa"/>
              <w:bottom w:w="0" w:type="dxa"/>
              <w:right w:w="0" w:type="dxa"/>
            </w:tcMar>
            <w:hideMark/>
          </w:tcPr>
          <w:p w14:paraId="35E53C93" w14:textId="77777777" w:rsidR="00732F7C" w:rsidRPr="00732F7C" w:rsidRDefault="00732F7C" w:rsidP="00732F7C">
            <w:pPr>
              <w:jc w:val="both"/>
            </w:pPr>
            <w:r w:rsidRPr="00732F7C">
              <w:t>$ 1.296.837.00</w:t>
            </w:r>
          </w:p>
        </w:tc>
        <w:tc>
          <w:tcPr>
            <w:tcW w:w="700" w:type="pct"/>
            <w:tcBorders>
              <w:top w:val="nil"/>
              <w:left w:val="nil"/>
              <w:bottom w:val="nil"/>
              <w:right w:val="nil"/>
            </w:tcBorders>
            <w:tcMar>
              <w:top w:w="0" w:type="dxa"/>
              <w:left w:w="0" w:type="dxa"/>
              <w:bottom w:w="0" w:type="dxa"/>
              <w:right w:w="0" w:type="dxa"/>
            </w:tcMar>
            <w:hideMark/>
          </w:tcPr>
          <w:p w14:paraId="3651B02A" w14:textId="77777777" w:rsidR="00732F7C" w:rsidRPr="00732F7C" w:rsidRDefault="00732F7C" w:rsidP="00732F7C">
            <w:pPr>
              <w:jc w:val="both"/>
            </w:pPr>
            <w:r w:rsidRPr="00732F7C">
              <w:t>92.77%</w:t>
            </w:r>
          </w:p>
        </w:tc>
      </w:tr>
      <w:tr w:rsidR="00732F7C" w:rsidRPr="00732F7C" w14:paraId="5ACF32C4"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0CD87A4B"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67D845B8" w14:textId="77777777" w:rsidR="00732F7C" w:rsidRPr="00732F7C" w:rsidRDefault="00732F7C" w:rsidP="00732F7C">
            <w:pPr>
              <w:jc w:val="both"/>
            </w:pPr>
            <w:r w:rsidRPr="00732F7C">
              <w:t>207</w:t>
            </w:r>
          </w:p>
        </w:tc>
        <w:tc>
          <w:tcPr>
            <w:tcW w:w="1000" w:type="pct"/>
            <w:tcBorders>
              <w:top w:val="nil"/>
              <w:left w:val="nil"/>
              <w:bottom w:val="nil"/>
              <w:right w:val="nil"/>
            </w:tcBorders>
            <w:tcMar>
              <w:top w:w="0" w:type="dxa"/>
              <w:left w:w="0" w:type="dxa"/>
              <w:bottom w:w="0" w:type="dxa"/>
              <w:right w:w="0" w:type="dxa"/>
            </w:tcMar>
            <w:hideMark/>
          </w:tcPr>
          <w:p w14:paraId="6EF77FB4" w14:textId="77777777" w:rsidR="00732F7C" w:rsidRPr="00732F7C" w:rsidRDefault="00732F7C" w:rsidP="00732F7C">
            <w:pPr>
              <w:jc w:val="both"/>
            </w:pPr>
            <w:r w:rsidRPr="00732F7C">
              <w:t>Equipos. Máquinas elementos para comunicación. radio. televisión. señales. sonido. radar y proyección</w:t>
            </w:r>
          </w:p>
        </w:tc>
        <w:tc>
          <w:tcPr>
            <w:tcW w:w="900" w:type="pct"/>
            <w:tcBorders>
              <w:top w:val="nil"/>
              <w:left w:val="nil"/>
              <w:bottom w:val="nil"/>
              <w:right w:val="nil"/>
            </w:tcBorders>
            <w:tcMar>
              <w:top w:w="0" w:type="dxa"/>
              <w:left w:w="0" w:type="dxa"/>
              <w:bottom w:w="0" w:type="dxa"/>
              <w:right w:w="0" w:type="dxa"/>
            </w:tcMar>
            <w:hideMark/>
          </w:tcPr>
          <w:p w14:paraId="27EB10C2" w14:textId="77777777" w:rsidR="00732F7C" w:rsidRPr="00732F7C" w:rsidRDefault="00732F7C" w:rsidP="00732F7C">
            <w:pPr>
              <w:jc w:val="both"/>
            </w:pPr>
            <w:r w:rsidRPr="00732F7C">
              <w:t>$ 756.124.195.62</w:t>
            </w:r>
          </w:p>
        </w:tc>
        <w:tc>
          <w:tcPr>
            <w:tcW w:w="850" w:type="pct"/>
            <w:tcBorders>
              <w:top w:val="nil"/>
              <w:left w:val="nil"/>
              <w:bottom w:val="nil"/>
              <w:right w:val="nil"/>
            </w:tcBorders>
            <w:tcMar>
              <w:top w:w="0" w:type="dxa"/>
              <w:left w:w="0" w:type="dxa"/>
              <w:bottom w:w="0" w:type="dxa"/>
              <w:right w:w="0" w:type="dxa"/>
            </w:tcMar>
            <w:hideMark/>
          </w:tcPr>
          <w:p w14:paraId="7FEE9965" w14:textId="77777777" w:rsidR="00732F7C" w:rsidRPr="00732F7C" w:rsidRDefault="00732F7C" w:rsidP="00732F7C">
            <w:pPr>
              <w:jc w:val="both"/>
            </w:pPr>
            <w:r w:rsidRPr="00732F7C">
              <w:t>$ 566.608.490.93</w:t>
            </w:r>
          </w:p>
        </w:tc>
        <w:tc>
          <w:tcPr>
            <w:tcW w:w="800" w:type="pct"/>
            <w:tcBorders>
              <w:top w:val="nil"/>
              <w:left w:val="nil"/>
              <w:bottom w:val="nil"/>
              <w:right w:val="nil"/>
            </w:tcBorders>
            <w:tcMar>
              <w:top w:w="0" w:type="dxa"/>
              <w:left w:w="0" w:type="dxa"/>
              <w:bottom w:w="0" w:type="dxa"/>
              <w:right w:w="0" w:type="dxa"/>
            </w:tcMar>
            <w:hideMark/>
          </w:tcPr>
          <w:p w14:paraId="7F7FBD5C" w14:textId="77777777" w:rsidR="00732F7C" w:rsidRPr="00732F7C" w:rsidRDefault="00732F7C" w:rsidP="00732F7C">
            <w:pPr>
              <w:jc w:val="both"/>
            </w:pPr>
            <w:r w:rsidRPr="00732F7C">
              <w:t>$189.515.704.69</w:t>
            </w:r>
          </w:p>
        </w:tc>
        <w:tc>
          <w:tcPr>
            <w:tcW w:w="700" w:type="pct"/>
            <w:tcBorders>
              <w:top w:val="nil"/>
              <w:left w:val="nil"/>
              <w:bottom w:val="nil"/>
              <w:right w:val="nil"/>
            </w:tcBorders>
            <w:tcMar>
              <w:top w:w="0" w:type="dxa"/>
              <w:left w:w="0" w:type="dxa"/>
              <w:bottom w:w="0" w:type="dxa"/>
              <w:right w:w="0" w:type="dxa"/>
            </w:tcMar>
            <w:hideMark/>
          </w:tcPr>
          <w:p w14:paraId="6290746C" w14:textId="77777777" w:rsidR="00732F7C" w:rsidRPr="00732F7C" w:rsidRDefault="00732F7C" w:rsidP="00732F7C">
            <w:pPr>
              <w:jc w:val="both"/>
            </w:pPr>
            <w:r w:rsidRPr="00732F7C">
              <w:t>74.94%</w:t>
            </w:r>
          </w:p>
        </w:tc>
      </w:tr>
      <w:tr w:rsidR="00732F7C" w:rsidRPr="00732F7C" w14:paraId="0FD9AE4A"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59DB79BF"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53DA677B" w14:textId="77777777" w:rsidR="00732F7C" w:rsidRPr="00732F7C" w:rsidRDefault="00732F7C" w:rsidP="00732F7C">
            <w:pPr>
              <w:jc w:val="both"/>
            </w:pPr>
            <w:r w:rsidRPr="00732F7C">
              <w:t>208</w:t>
            </w:r>
          </w:p>
        </w:tc>
        <w:tc>
          <w:tcPr>
            <w:tcW w:w="1000" w:type="pct"/>
            <w:tcBorders>
              <w:top w:val="nil"/>
              <w:left w:val="nil"/>
              <w:bottom w:val="nil"/>
              <w:right w:val="nil"/>
            </w:tcBorders>
            <w:tcMar>
              <w:top w:w="0" w:type="dxa"/>
              <w:left w:w="0" w:type="dxa"/>
              <w:bottom w:w="0" w:type="dxa"/>
              <w:right w:w="0" w:type="dxa"/>
            </w:tcMar>
            <w:hideMark/>
          </w:tcPr>
          <w:p w14:paraId="7CC0C461" w14:textId="77777777" w:rsidR="00732F7C" w:rsidRPr="00732F7C" w:rsidRDefault="00732F7C" w:rsidP="00732F7C">
            <w:pPr>
              <w:jc w:val="both"/>
            </w:pPr>
            <w:r w:rsidRPr="00732F7C">
              <w:t>Equipos y máquinas para producción y mantenimiento</w:t>
            </w:r>
          </w:p>
        </w:tc>
        <w:tc>
          <w:tcPr>
            <w:tcW w:w="900" w:type="pct"/>
            <w:tcBorders>
              <w:top w:val="nil"/>
              <w:left w:val="nil"/>
              <w:bottom w:val="nil"/>
              <w:right w:val="nil"/>
            </w:tcBorders>
            <w:tcMar>
              <w:top w:w="0" w:type="dxa"/>
              <w:left w:w="0" w:type="dxa"/>
              <w:bottom w:w="0" w:type="dxa"/>
              <w:right w:w="0" w:type="dxa"/>
            </w:tcMar>
            <w:hideMark/>
          </w:tcPr>
          <w:p w14:paraId="0A3AB042" w14:textId="77777777" w:rsidR="00732F7C" w:rsidRPr="00732F7C" w:rsidRDefault="00732F7C" w:rsidP="00732F7C">
            <w:pPr>
              <w:jc w:val="both"/>
            </w:pPr>
            <w:r w:rsidRPr="00732F7C">
              <w:t>$ 18.709.081.00</w:t>
            </w:r>
          </w:p>
        </w:tc>
        <w:tc>
          <w:tcPr>
            <w:tcW w:w="850" w:type="pct"/>
            <w:tcBorders>
              <w:top w:val="nil"/>
              <w:left w:val="nil"/>
              <w:bottom w:val="nil"/>
              <w:right w:val="nil"/>
            </w:tcBorders>
            <w:tcMar>
              <w:top w:w="0" w:type="dxa"/>
              <w:left w:w="0" w:type="dxa"/>
              <w:bottom w:w="0" w:type="dxa"/>
              <w:right w:w="0" w:type="dxa"/>
            </w:tcMar>
            <w:hideMark/>
          </w:tcPr>
          <w:p w14:paraId="08888090" w14:textId="77777777" w:rsidR="00732F7C" w:rsidRPr="00732F7C" w:rsidRDefault="00732F7C" w:rsidP="00732F7C">
            <w:pPr>
              <w:jc w:val="both"/>
            </w:pPr>
            <w:r w:rsidRPr="00732F7C">
              <w:t>$ 18.231.594.94</w:t>
            </w:r>
          </w:p>
        </w:tc>
        <w:tc>
          <w:tcPr>
            <w:tcW w:w="800" w:type="pct"/>
            <w:tcBorders>
              <w:top w:val="nil"/>
              <w:left w:val="nil"/>
              <w:bottom w:val="nil"/>
              <w:right w:val="nil"/>
            </w:tcBorders>
            <w:tcMar>
              <w:top w:w="0" w:type="dxa"/>
              <w:left w:w="0" w:type="dxa"/>
              <w:bottom w:w="0" w:type="dxa"/>
              <w:right w:w="0" w:type="dxa"/>
            </w:tcMar>
            <w:hideMark/>
          </w:tcPr>
          <w:p w14:paraId="77B8CAB5" w14:textId="77777777" w:rsidR="00732F7C" w:rsidRPr="00732F7C" w:rsidRDefault="00732F7C" w:rsidP="00732F7C">
            <w:pPr>
              <w:jc w:val="both"/>
            </w:pPr>
            <w:r w:rsidRPr="00732F7C">
              <w:t>$ 477.486.06</w:t>
            </w:r>
          </w:p>
        </w:tc>
        <w:tc>
          <w:tcPr>
            <w:tcW w:w="700" w:type="pct"/>
            <w:tcBorders>
              <w:top w:val="nil"/>
              <w:left w:val="nil"/>
              <w:bottom w:val="nil"/>
              <w:right w:val="nil"/>
            </w:tcBorders>
            <w:tcMar>
              <w:top w:w="0" w:type="dxa"/>
              <w:left w:w="0" w:type="dxa"/>
              <w:bottom w:w="0" w:type="dxa"/>
              <w:right w:w="0" w:type="dxa"/>
            </w:tcMar>
            <w:hideMark/>
          </w:tcPr>
          <w:p w14:paraId="07457D04" w14:textId="77777777" w:rsidR="00732F7C" w:rsidRPr="00732F7C" w:rsidRDefault="00732F7C" w:rsidP="00732F7C">
            <w:pPr>
              <w:jc w:val="both"/>
            </w:pPr>
            <w:r w:rsidRPr="00732F7C">
              <w:t>97.45%</w:t>
            </w:r>
          </w:p>
        </w:tc>
      </w:tr>
      <w:tr w:rsidR="00732F7C" w:rsidRPr="00732F7C" w14:paraId="01731E78"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2D000A53"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7598E9E4" w14:textId="77777777" w:rsidR="00732F7C" w:rsidRPr="00732F7C" w:rsidRDefault="00732F7C" w:rsidP="00732F7C">
            <w:pPr>
              <w:jc w:val="both"/>
            </w:pPr>
            <w:r w:rsidRPr="00732F7C">
              <w:t>210</w:t>
            </w:r>
          </w:p>
        </w:tc>
        <w:tc>
          <w:tcPr>
            <w:tcW w:w="1000" w:type="pct"/>
            <w:tcBorders>
              <w:top w:val="nil"/>
              <w:left w:val="nil"/>
              <w:bottom w:val="nil"/>
              <w:right w:val="nil"/>
            </w:tcBorders>
            <w:tcMar>
              <w:top w:w="0" w:type="dxa"/>
              <w:left w:w="0" w:type="dxa"/>
              <w:bottom w:w="0" w:type="dxa"/>
              <w:right w:w="0" w:type="dxa"/>
            </w:tcMar>
            <w:hideMark/>
          </w:tcPr>
          <w:p w14:paraId="0651C492" w14:textId="77777777" w:rsidR="00732F7C" w:rsidRPr="00732F7C" w:rsidRDefault="00732F7C" w:rsidP="00732F7C">
            <w:pPr>
              <w:jc w:val="both"/>
            </w:pPr>
            <w:r w:rsidRPr="00732F7C">
              <w:t xml:space="preserve">Equipos y máquinas para laboratorio. </w:t>
            </w:r>
            <w:r w:rsidRPr="00732F7C">
              <w:lastRenderedPageBreak/>
              <w:t>Medicina y odontología</w:t>
            </w:r>
          </w:p>
        </w:tc>
        <w:tc>
          <w:tcPr>
            <w:tcW w:w="900" w:type="pct"/>
            <w:tcBorders>
              <w:top w:val="nil"/>
              <w:left w:val="nil"/>
              <w:bottom w:val="nil"/>
              <w:right w:val="nil"/>
            </w:tcBorders>
            <w:tcMar>
              <w:top w:w="0" w:type="dxa"/>
              <w:left w:w="0" w:type="dxa"/>
              <w:bottom w:w="0" w:type="dxa"/>
              <w:right w:w="0" w:type="dxa"/>
            </w:tcMar>
            <w:hideMark/>
          </w:tcPr>
          <w:p w14:paraId="09EEC885" w14:textId="77777777" w:rsidR="00732F7C" w:rsidRPr="00732F7C" w:rsidRDefault="00732F7C" w:rsidP="00732F7C">
            <w:pPr>
              <w:jc w:val="both"/>
            </w:pPr>
            <w:r w:rsidRPr="00732F7C">
              <w:lastRenderedPageBreak/>
              <w:t>$ 23.390.760.00</w:t>
            </w:r>
          </w:p>
        </w:tc>
        <w:tc>
          <w:tcPr>
            <w:tcW w:w="850" w:type="pct"/>
            <w:tcBorders>
              <w:top w:val="nil"/>
              <w:left w:val="nil"/>
              <w:bottom w:val="nil"/>
              <w:right w:val="nil"/>
            </w:tcBorders>
            <w:tcMar>
              <w:top w:w="0" w:type="dxa"/>
              <w:left w:w="0" w:type="dxa"/>
              <w:bottom w:w="0" w:type="dxa"/>
              <w:right w:w="0" w:type="dxa"/>
            </w:tcMar>
            <w:hideMark/>
          </w:tcPr>
          <w:p w14:paraId="288F41A0" w14:textId="77777777" w:rsidR="00732F7C" w:rsidRPr="00732F7C" w:rsidRDefault="00732F7C" w:rsidP="00732F7C">
            <w:pPr>
              <w:jc w:val="both"/>
            </w:pPr>
            <w:r w:rsidRPr="00732F7C">
              <w:t>$ 22.719.445.00</w:t>
            </w:r>
          </w:p>
        </w:tc>
        <w:tc>
          <w:tcPr>
            <w:tcW w:w="800" w:type="pct"/>
            <w:tcBorders>
              <w:top w:val="nil"/>
              <w:left w:val="nil"/>
              <w:bottom w:val="nil"/>
              <w:right w:val="nil"/>
            </w:tcBorders>
            <w:tcMar>
              <w:top w:w="0" w:type="dxa"/>
              <w:left w:w="0" w:type="dxa"/>
              <w:bottom w:w="0" w:type="dxa"/>
              <w:right w:w="0" w:type="dxa"/>
            </w:tcMar>
            <w:hideMark/>
          </w:tcPr>
          <w:p w14:paraId="1AD57084" w14:textId="77777777" w:rsidR="00732F7C" w:rsidRPr="00732F7C" w:rsidRDefault="00732F7C" w:rsidP="00732F7C">
            <w:pPr>
              <w:jc w:val="both"/>
            </w:pPr>
            <w:r w:rsidRPr="00732F7C">
              <w:t>$ 671.315.00</w:t>
            </w:r>
          </w:p>
        </w:tc>
        <w:tc>
          <w:tcPr>
            <w:tcW w:w="700" w:type="pct"/>
            <w:tcBorders>
              <w:top w:val="nil"/>
              <w:left w:val="nil"/>
              <w:bottom w:val="nil"/>
              <w:right w:val="nil"/>
            </w:tcBorders>
            <w:tcMar>
              <w:top w:w="0" w:type="dxa"/>
              <w:left w:w="0" w:type="dxa"/>
              <w:bottom w:w="0" w:type="dxa"/>
              <w:right w:w="0" w:type="dxa"/>
            </w:tcMar>
            <w:hideMark/>
          </w:tcPr>
          <w:p w14:paraId="094A462F" w14:textId="77777777" w:rsidR="00732F7C" w:rsidRPr="00732F7C" w:rsidRDefault="00732F7C" w:rsidP="00732F7C">
            <w:pPr>
              <w:jc w:val="both"/>
            </w:pPr>
            <w:r w:rsidRPr="00732F7C">
              <w:t>97.13%</w:t>
            </w:r>
          </w:p>
        </w:tc>
      </w:tr>
      <w:tr w:rsidR="00732F7C" w:rsidRPr="00732F7C" w14:paraId="75FAFBDE"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38648735"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03A3DD24" w14:textId="77777777" w:rsidR="00732F7C" w:rsidRPr="00732F7C" w:rsidRDefault="00732F7C" w:rsidP="00732F7C">
            <w:pPr>
              <w:jc w:val="both"/>
            </w:pPr>
            <w:r w:rsidRPr="00732F7C">
              <w:t>211</w:t>
            </w:r>
          </w:p>
        </w:tc>
        <w:tc>
          <w:tcPr>
            <w:tcW w:w="1000" w:type="pct"/>
            <w:tcBorders>
              <w:top w:val="nil"/>
              <w:left w:val="nil"/>
              <w:bottom w:val="nil"/>
              <w:right w:val="nil"/>
            </w:tcBorders>
            <w:tcMar>
              <w:top w:w="0" w:type="dxa"/>
              <w:left w:w="0" w:type="dxa"/>
              <w:bottom w:w="0" w:type="dxa"/>
              <w:right w:w="0" w:type="dxa"/>
            </w:tcMar>
            <w:hideMark/>
          </w:tcPr>
          <w:p w14:paraId="406767B3" w14:textId="77777777" w:rsidR="00732F7C" w:rsidRPr="00732F7C" w:rsidRDefault="00732F7C" w:rsidP="00732F7C">
            <w:pPr>
              <w:jc w:val="both"/>
            </w:pPr>
            <w:r w:rsidRPr="00732F7C">
              <w:t>Equipos y máquinas para microfilmación. fotografía y fotocopiado</w:t>
            </w:r>
          </w:p>
        </w:tc>
        <w:tc>
          <w:tcPr>
            <w:tcW w:w="900" w:type="pct"/>
            <w:tcBorders>
              <w:top w:val="nil"/>
              <w:left w:val="nil"/>
              <w:bottom w:val="nil"/>
              <w:right w:val="nil"/>
            </w:tcBorders>
            <w:tcMar>
              <w:top w:w="0" w:type="dxa"/>
              <w:left w:w="0" w:type="dxa"/>
              <w:bottom w:w="0" w:type="dxa"/>
              <w:right w:w="0" w:type="dxa"/>
            </w:tcMar>
            <w:hideMark/>
          </w:tcPr>
          <w:p w14:paraId="5A020BA7" w14:textId="77777777" w:rsidR="00732F7C" w:rsidRPr="00732F7C" w:rsidRDefault="00732F7C" w:rsidP="00732F7C">
            <w:pPr>
              <w:jc w:val="both"/>
            </w:pPr>
            <w:r w:rsidRPr="00732F7C">
              <w:t>$ 20.207.356.00</w:t>
            </w:r>
          </w:p>
        </w:tc>
        <w:tc>
          <w:tcPr>
            <w:tcW w:w="850" w:type="pct"/>
            <w:tcBorders>
              <w:top w:val="nil"/>
              <w:left w:val="nil"/>
              <w:bottom w:val="nil"/>
              <w:right w:val="nil"/>
            </w:tcBorders>
            <w:tcMar>
              <w:top w:w="0" w:type="dxa"/>
              <w:left w:w="0" w:type="dxa"/>
              <w:bottom w:w="0" w:type="dxa"/>
              <w:right w:w="0" w:type="dxa"/>
            </w:tcMar>
            <w:hideMark/>
          </w:tcPr>
          <w:p w14:paraId="1B85E667" w14:textId="77777777" w:rsidR="00732F7C" w:rsidRPr="00732F7C" w:rsidRDefault="00732F7C" w:rsidP="00732F7C">
            <w:pPr>
              <w:jc w:val="both"/>
            </w:pPr>
            <w:r w:rsidRPr="00732F7C">
              <w:t>$ 14.530.415.58</w:t>
            </w:r>
          </w:p>
        </w:tc>
        <w:tc>
          <w:tcPr>
            <w:tcW w:w="800" w:type="pct"/>
            <w:tcBorders>
              <w:top w:val="nil"/>
              <w:left w:val="nil"/>
              <w:bottom w:val="nil"/>
              <w:right w:val="nil"/>
            </w:tcBorders>
            <w:tcMar>
              <w:top w:w="0" w:type="dxa"/>
              <w:left w:w="0" w:type="dxa"/>
              <w:bottom w:w="0" w:type="dxa"/>
              <w:right w:w="0" w:type="dxa"/>
            </w:tcMar>
            <w:hideMark/>
          </w:tcPr>
          <w:p w14:paraId="7AE4C3FF" w14:textId="77777777" w:rsidR="00732F7C" w:rsidRPr="00732F7C" w:rsidRDefault="00732F7C" w:rsidP="00732F7C">
            <w:pPr>
              <w:jc w:val="both"/>
            </w:pPr>
            <w:r w:rsidRPr="00732F7C">
              <w:t>$ 5.676.940.42</w:t>
            </w:r>
          </w:p>
        </w:tc>
        <w:tc>
          <w:tcPr>
            <w:tcW w:w="700" w:type="pct"/>
            <w:tcBorders>
              <w:top w:val="nil"/>
              <w:left w:val="nil"/>
              <w:bottom w:val="nil"/>
              <w:right w:val="nil"/>
            </w:tcBorders>
            <w:tcMar>
              <w:top w:w="0" w:type="dxa"/>
              <w:left w:w="0" w:type="dxa"/>
              <w:bottom w:w="0" w:type="dxa"/>
              <w:right w:w="0" w:type="dxa"/>
            </w:tcMar>
            <w:hideMark/>
          </w:tcPr>
          <w:p w14:paraId="354011E3" w14:textId="77777777" w:rsidR="00732F7C" w:rsidRPr="00732F7C" w:rsidRDefault="00732F7C" w:rsidP="00732F7C">
            <w:pPr>
              <w:jc w:val="both"/>
            </w:pPr>
            <w:r w:rsidRPr="00732F7C">
              <w:t>71.91%</w:t>
            </w:r>
          </w:p>
        </w:tc>
      </w:tr>
      <w:tr w:rsidR="00732F7C" w:rsidRPr="00732F7C" w14:paraId="37D3C621"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389D5BA6"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07D1CDA5" w14:textId="77777777" w:rsidR="00732F7C" w:rsidRPr="00732F7C" w:rsidRDefault="00732F7C" w:rsidP="00732F7C">
            <w:pPr>
              <w:jc w:val="both"/>
            </w:pPr>
            <w:r w:rsidRPr="00732F7C">
              <w:t>212</w:t>
            </w:r>
          </w:p>
        </w:tc>
        <w:tc>
          <w:tcPr>
            <w:tcW w:w="1000" w:type="pct"/>
            <w:tcBorders>
              <w:top w:val="nil"/>
              <w:left w:val="nil"/>
              <w:bottom w:val="nil"/>
              <w:right w:val="nil"/>
            </w:tcBorders>
            <w:tcMar>
              <w:top w:w="0" w:type="dxa"/>
              <w:left w:w="0" w:type="dxa"/>
              <w:bottom w:w="0" w:type="dxa"/>
              <w:right w:w="0" w:type="dxa"/>
            </w:tcMar>
            <w:hideMark/>
          </w:tcPr>
          <w:p w14:paraId="16CADA5B" w14:textId="77777777" w:rsidR="00732F7C" w:rsidRPr="00732F7C" w:rsidRDefault="00732F7C" w:rsidP="00732F7C">
            <w:pPr>
              <w:jc w:val="both"/>
            </w:pPr>
            <w:r w:rsidRPr="00732F7C">
              <w:t>Equipos y maquinas manuales y eléctricas para oficina</w:t>
            </w:r>
          </w:p>
        </w:tc>
        <w:tc>
          <w:tcPr>
            <w:tcW w:w="900" w:type="pct"/>
            <w:tcBorders>
              <w:top w:val="nil"/>
              <w:left w:val="nil"/>
              <w:bottom w:val="nil"/>
              <w:right w:val="nil"/>
            </w:tcBorders>
            <w:tcMar>
              <w:top w:w="0" w:type="dxa"/>
              <w:left w:w="0" w:type="dxa"/>
              <w:bottom w:w="0" w:type="dxa"/>
              <w:right w:w="0" w:type="dxa"/>
            </w:tcMar>
            <w:hideMark/>
          </w:tcPr>
          <w:p w14:paraId="7F279D5C" w14:textId="77777777" w:rsidR="00732F7C" w:rsidRPr="00732F7C" w:rsidRDefault="00732F7C" w:rsidP="00732F7C">
            <w:pPr>
              <w:jc w:val="both"/>
            </w:pPr>
            <w:r w:rsidRPr="00732F7C">
              <w:t>$ 15.136.681.86</w:t>
            </w:r>
          </w:p>
        </w:tc>
        <w:tc>
          <w:tcPr>
            <w:tcW w:w="850" w:type="pct"/>
            <w:tcBorders>
              <w:top w:val="nil"/>
              <w:left w:val="nil"/>
              <w:bottom w:val="nil"/>
              <w:right w:val="nil"/>
            </w:tcBorders>
            <w:tcMar>
              <w:top w:w="0" w:type="dxa"/>
              <w:left w:w="0" w:type="dxa"/>
              <w:bottom w:w="0" w:type="dxa"/>
              <w:right w:w="0" w:type="dxa"/>
            </w:tcMar>
            <w:hideMark/>
          </w:tcPr>
          <w:p w14:paraId="2DCCDD7D" w14:textId="77777777" w:rsidR="00732F7C" w:rsidRPr="00732F7C" w:rsidRDefault="00732F7C" w:rsidP="00732F7C">
            <w:pPr>
              <w:jc w:val="both"/>
            </w:pPr>
            <w:r w:rsidRPr="00732F7C">
              <w:t>$ 14.852.461.20</w:t>
            </w:r>
          </w:p>
        </w:tc>
        <w:tc>
          <w:tcPr>
            <w:tcW w:w="800" w:type="pct"/>
            <w:tcBorders>
              <w:top w:val="nil"/>
              <w:left w:val="nil"/>
              <w:bottom w:val="nil"/>
              <w:right w:val="nil"/>
            </w:tcBorders>
            <w:tcMar>
              <w:top w:w="0" w:type="dxa"/>
              <w:left w:w="0" w:type="dxa"/>
              <w:bottom w:w="0" w:type="dxa"/>
              <w:right w:w="0" w:type="dxa"/>
            </w:tcMar>
            <w:hideMark/>
          </w:tcPr>
          <w:p w14:paraId="2759E30C" w14:textId="77777777" w:rsidR="00732F7C" w:rsidRPr="00732F7C" w:rsidRDefault="00732F7C" w:rsidP="00732F7C">
            <w:pPr>
              <w:jc w:val="both"/>
            </w:pPr>
            <w:r w:rsidRPr="00732F7C">
              <w:t>$ 284.220.66</w:t>
            </w:r>
          </w:p>
        </w:tc>
        <w:tc>
          <w:tcPr>
            <w:tcW w:w="700" w:type="pct"/>
            <w:tcBorders>
              <w:top w:val="nil"/>
              <w:left w:val="nil"/>
              <w:bottom w:val="nil"/>
              <w:right w:val="nil"/>
            </w:tcBorders>
            <w:tcMar>
              <w:top w:w="0" w:type="dxa"/>
              <w:left w:w="0" w:type="dxa"/>
              <w:bottom w:w="0" w:type="dxa"/>
              <w:right w:w="0" w:type="dxa"/>
            </w:tcMar>
            <w:hideMark/>
          </w:tcPr>
          <w:p w14:paraId="3E6806A5" w14:textId="77777777" w:rsidR="00732F7C" w:rsidRPr="00732F7C" w:rsidRDefault="00732F7C" w:rsidP="00732F7C">
            <w:pPr>
              <w:jc w:val="both"/>
            </w:pPr>
            <w:r w:rsidRPr="00732F7C">
              <w:t>98.12%</w:t>
            </w:r>
          </w:p>
        </w:tc>
      </w:tr>
      <w:tr w:rsidR="00732F7C" w:rsidRPr="00732F7C" w14:paraId="5E910229"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52649FD4"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7954588F" w14:textId="77777777" w:rsidR="00732F7C" w:rsidRPr="00732F7C" w:rsidRDefault="00732F7C" w:rsidP="00732F7C">
            <w:pPr>
              <w:jc w:val="both"/>
            </w:pPr>
            <w:r w:rsidRPr="00732F7C">
              <w:t>213</w:t>
            </w:r>
          </w:p>
        </w:tc>
        <w:tc>
          <w:tcPr>
            <w:tcW w:w="1000" w:type="pct"/>
            <w:tcBorders>
              <w:top w:val="nil"/>
              <w:left w:val="nil"/>
              <w:bottom w:val="nil"/>
              <w:right w:val="nil"/>
            </w:tcBorders>
            <w:tcMar>
              <w:top w:w="0" w:type="dxa"/>
              <w:left w:w="0" w:type="dxa"/>
              <w:bottom w:w="0" w:type="dxa"/>
              <w:right w:w="0" w:type="dxa"/>
            </w:tcMar>
            <w:hideMark/>
          </w:tcPr>
          <w:p w14:paraId="33D67045" w14:textId="77777777" w:rsidR="00732F7C" w:rsidRPr="00732F7C" w:rsidRDefault="00732F7C" w:rsidP="00732F7C">
            <w:pPr>
              <w:jc w:val="both"/>
            </w:pPr>
            <w:r w:rsidRPr="00732F7C">
              <w:t>Equipos y máquinas para transporte</w:t>
            </w:r>
          </w:p>
        </w:tc>
        <w:tc>
          <w:tcPr>
            <w:tcW w:w="900" w:type="pct"/>
            <w:tcBorders>
              <w:top w:val="nil"/>
              <w:left w:val="nil"/>
              <w:bottom w:val="nil"/>
              <w:right w:val="nil"/>
            </w:tcBorders>
            <w:tcMar>
              <w:top w:w="0" w:type="dxa"/>
              <w:left w:w="0" w:type="dxa"/>
              <w:bottom w:w="0" w:type="dxa"/>
              <w:right w:w="0" w:type="dxa"/>
            </w:tcMar>
            <w:hideMark/>
          </w:tcPr>
          <w:p w14:paraId="449DC688" w14:textId="77777777" w:rsidR="00732F7C" w:rsidRPr="00732F7C" w:rsidRDefault="00732F7C" w:rsidP="00732F7C">
            <w:pPr>
              <w:jc w:val="both"/>
            </w:pPr>
            <w:r w:rsidRPr="00732F7C">
              <w:t>$ 40.155.653.86</w:t>
            </w:r>
          </w:p>
        </w:tc>
        <w:tc>
          <w:tcPr>
            <w:tcW w:w="850" w:type="pct"/>
            <w:tcBorders>
              <w:top w:val="nil"/>
              <w:left w:val="nil"/>
              <w:bottom w:val="nil"/>
              <w:right w:val="nil"/>
            </w:tcBorders>
            <w:tcMar>
              <w:top w:w="0" w:type="dxa"/>
              <w:left w:w="0" w:type="dxa"/>
              <w:bottom w:w="0" w:type="dxa"/>
              <w:right w:w="0" w:type="dxa"/>
            </w:tcMar>
            <w:hideMark/>
          </w:tcPr>
          <w:p w14:paraId="73D62379" w14:textId="77777777" w:rsidR="00732F7C" w:rsidRPr="00732F7C" w:rsidRDefault="00732F7C" w:rsidP="00732F7C">
            <w:pPr>
              <w:jc w:val="both"/>
            </w:pPr>
            <w:r w:rsidRPr="00732F7C">
              <w:t>$ 40.155.653.86</w:t>
            </w:r>
          </w:p>
        </w:tc>
        <w:tc>
          <w:tcPr>
            <w:tcW w:w="800" w:type="pct"/>
            <w:tcBorders>
              <w:top w:val="nil"/>
              <w:left w:val="nil"/>
              <w:bottom w:val="nil"/>
              <w:right w:val="nil"/>
            </w:tcBorders>
            <w:tcMar>
              <w:top w:w="0" w:type="dxa"/>
              <w:left w:w="0" w:type="dxa"/>
              <w:bottom w:w="0" w:type="dxa"/>
              <w:right w:w="0" w:type="dxa"/>
            </w:tcMar>
            <w:hideMark/>
          </w:tcPr>
          <w:p w14:paraId="791BD183" w14:textId="77777777" w:rsidR="00732F7C" w:rsidRPr="00732F7C" w:rsidRDefault="00732F7C" w:rsidP="00732F7C">
            <w:pPr>
              <w:jc w:val="both"/>
            </w:pPr>
            <w:r w:rsidRPr="00732F7C">
              <w:t>$ -</w:t>
            </w:r>
          </w:p>
        </w:tc>
        <w:tc>
          <w:tcPr>
            <w:tcW w:w="700" w:type="pct"/>
            <w:tcBorders>
              <w:top w:val="nil"/>
              <w:left w:val="nil"/>
              <w:bottom w:val="nil"/>
              <w:right w:val="nil"/>
            </w:tcBorders>
            <w:tcMar>
              <w:top w:w="0" w:type="dxa"/>
              <w:left w:w="0" w:type="dxa"/>
              <w:bottom w:w="0" w:type="dxa"/>
              <w:right w:w="0" w:type="dxa"/>
            </w:tcMar>
            <w:hideMark/>
          </w:tcPr>
          <w:p w14:paraId="3B4198D5" w14:textId="77777777" w:rsidR="00732F7C" w:rsidRPr="00732F7C" w:rsidRDefault="00732F7C" w:rsidP="00732F7C">
            <w:pPr>
              <w:jc w:val="both"/>
            </w:pPr>
            <w:r w:rsidRPr="00732F7C">
              <w:t>100.00%</w:t>
            </w:r>
          </w:p>
        </w:tc>
      </w:tr>
      <w:tr w:rsidR="00732F7C" w:rsidRPr="00732F7C" w14:paraId="1DB2C635"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7C0CD67A"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138D02A1" w14:textId="77777777" w:rsidR="00732F7C" w:rsidRPr="00732F7C" w:rsidRDefault="00732F7C" w:rsidP="00732F7C">
            <w:pPr>
              <w:jc w:val="both"/>
            </w:pPr>
            <w:r w:rsidRPr="00732F7C">
              <w:t>214</w:t>
            </w:r>
          </w:p>
        </w:tc>
        <w:tc>
          <w:tcPr>
            <w:tcW w:w="1000" w:type="pct"/>
            <w:tcBorders>
              <w:top w:val="nil"/>
              <w:left w:val="nil"/>
              <w:bottom w:val="nil"/>
              <w:right w:val="nil"/>
            </w:tcBorders>
            <w:tcMar>
              <w:top w:w="0" w:type="dxa"/>
              <w:left w:w="0" w:type="dxa"/>
              <w:bottom w:w="0" w:type="dxa"/>
              <w:right w:w="0" w:type="dxa"/>
            </w:tcMar>
            <w:hideMark/>
          </w:tcPr>
          <w:p w14:paraId="23AA9B27" w14:textId="77777777" w:rsidR="00732F7C" w:rsidRPr="00732F7C" w:rsidRDefault="00732F7C" w:rsidP="00732F7C">
            <w:pPr>
              <w:jc w:val="both"/>
            </w:pPr>
            <w:r w:rsidRPr="00732F7C">
              <w:t>Herramientas y accesorios</w:t>
            </w:r>
          </w:p>
        </w:tc>
        <w:tc>
          <w:tcPr>
            <w:tcW w:w="900" w:type="pct"/>
            <w:tcBorders>
              <w:top w:val="nil"/>
              <w:left w:val="nil"/>
              <w:bottom w:val="nil"/>
              <w:right w:val="nil"/>
            </w:tcBorders>
            <w:tcMar>
              <w:top w:w="0" w:type="dxa"/>
              <w:left w:w="0" w:type="dxa"/>
              <w:bottom w:w="0" w:type="dxa"/>
              <w:right w:w="0" w:type="dxa"/>
            </w:tcMar>
            <w:hideMark/>
          </w:tcPr>
          <w:p w14:paraId="630EF7A4" w14:textId="77777777" w:rsidR="00732F7C" w:rsidRPr="00732F7C" w:rsidRDefault="00732F7C" w:rsidP="00732F7C">
            <w:pPr>
              <w:jc w:val="both"/>
            </w:pPr>
            <w:r w:rsidRPr="00732F7C">
              <w:t>$ 2.119.354.00</w:t>
            </w:r>
          </w:p>
        </w:tc>
        <w:tc>
          <w:tcPr>
            <w:tcW w:w="850" w:type="pct"/>
            <w:tcBorders>
              <w:top w:val="nil"/>
              <w:left w:val="nil"/>
              <w:bottom w:val="nil"/>
              <w:right w:val="nil"/>
            </w:tcBorders>
            <w:tcMar>
              <w:top w:w="0" w:type="dxa"/>
              <w:left w:w="0" w:type="dxa"/>
              <w:bottom w:w="0" w:type="dxa"/>
              <w:right w:w="0" w:type="dxa"/>
            </w:tcMar>
            <w:hideMark/>
          </w:tcPr>
          <w:p w14:paraId="503F2B90" w14:textId="77777777" w:rsidR="00732F7C" w:rsidRPr="00732F7C" w:rsidRDefault="00732F7C" w:rsidP="00732F7C">
            <w:pPr>
              <w:jc w:val="both"/>
            </w:pPr>
            <w:r w:rsidRPr="00732F7C">
              <w:t>$ 2.119.354.00</w:t>
            </w:r>
          </w:p>
        </w:tc>
        <w:tc>
          <w:tcPr>
            <w:tcW w:w="800" w:type="pct"/>
            <w:tcBorders>
              <w:top w:val="nil"/>
              <w:left w:val="nil"/>
              <w:bottom w:val="nil"/>
              <w:right w:val="nil"/>
            </w:tcBorders>
            <w:tcMar>
              <w:top w:w="0" w:type="dxa"/>
              <w:left w:w="0" w:type="dxa"/>
              <w:bottom w:w="0" w:type="dxa"/>
              <w:right w:w="0" w:type="dxa"/>
            </w:tcMar>
            <w:hideMark/>
          </w:tcPr>
          <w:p w14:paraId="22771D1D" w14:textId="77777777" w:rsidR="00732F7C" w:rsidRPr="00732F7C" w:rsidRDefault="00732F7C" w:rsidP="00732F7C">
            <w:pPr>
              <w:jc w:val="both"/>
            </w:pPr>
            <w:r w:rsidRPr="00732F7C">
              <w:t>$ -</w:t>
            </w:r>
          </w:p>
        </w:tc>
        <w:tc>
          <w:tcPr>
            <w:tcW w:w="700" w:type="pct"/>
            <w:tcBorders>
              <w:top w:val="nil"/>
              <w:left w:val="nil"/>
              <w:bottom w:val="nil"/>
              <w:right w:val="nil"/>
            </w:tcBorders>
            <w:tcMar>
              <w:top w:w="0" w:type="dxa"/>
              <w:left w:w="0" w:type="dxa"/>
              <w:bottom w:w="0" w:type="dxa"/>
              <w:right w:w="0" w:type="dxa"/>
            </w:tcMar>
            <w:hideMark/>
          </w:tcPr>
          <w:p w14:paraId="4EA4A74B" w14:textId="77777777" w:rsidR="00732F7C" w:rsidRPr="00732F7C" w:rsidRDefault="00732F7C" w:rsidP="00732F7C">
            <w:pPr>
              <w:jc w:val="both"/>
            </w:pPr>
            <w:r w:rsidRPr="00732F7C">
              <w:t>100.00%</w:t>
            </w:r>
          </w:p>
        </w:tc>
      </w:tr>
      <w:tr w:rsidR="00732F7C" w:rsidRPr="00732F7C" w14:paraId="4ED4C324"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6E6AB08C"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0E03EE23" w14:textId="77777777" w:rsidR="00732F7C" w:rsidRPr="00732F7C" w:rsidRDefault="00732F7C" w:rsidP="00732F7C">
            <w:pPr>
              <w:jc w:val="both"/>
            </w:pPr>
            <w:r w:rsidRPr="00732F7C">
              <w:t>216</w:t>
            </w:r>
          </w:p>
        </w:tc>
        <w:tc>
          <w:tcPr>
            <w:tcW w:w="1000" w:type="pct"/>
            <w:tcBorders>
              <w:top w:val="nil"/>
              <w:left w:val="nil"/>
              <w:bottom w:val="nil"/>
              <w:right w:val="nil"/>
            </w:tcBorders>
            <w:tcMar>
              <w:top w:w="0" w:type="dxa"/>
              <w:left w:w="0" w:type="dxa"/>
              <w:bottom w:w="0" w:type="dxa"/>
              <w:right w:w="0" w:type="dxa"/>
            </w:tcMar>
            <w:hideMark/>
          </w:tcPr>
          <w:p w14:paraId="47D3712F" w14:textId="77777777" w:rsidR="00732F7C" w:rsidRPr="00732F7C" w:rsidRDefault="00732F7C" w:rsidP="00732F7C">
            <w:pPr>
              <w:jc w:val="both"/>
            </w:pPr>
            <w:r w:rsidRPr="00732F7C">
              <w:t>Libros de Biblioteca Estudio</w:t>
            </w:r>
          </w:p>
        </w:tc>
        <w:tc>
          <w:tcPr>
            <w:tcW w:w="900" w:type="pct"/>
            <w:tcBorders>
              <w:top w:val="nil"/>
              <w:left w:val="nil"/>
              <w:bottom w:val="nil"/>
              <w:right w:val="nil"/>
            </w:tcBorders>
            <w:tcMar>
              <w:top w:w="0" w:type="dxa"/>
              <w:left w:w="0" w:type="dxa"/>
              <w:bottom w:w="0" w:type="dxa"/>
              <w:right w:w="0" w:type="dxa"/>
            </w:tcMar>
            <w:hideMark/>
          </w:tcPr>
          <w:p w14:paraId="15A9E1F5" w14:textId="77777777" w:rsidR="00732F7C" w:rsidRPr="00732F7C" w:rsidRDefault="00732F7C" w:rsidP="00732F7C">
            <w:pPr>
              <w:jc w:val="both"/>
            </w:pPr>
            <w:r w:rsidRPr="00732F7C">
              <w:t>$ 13.877.583.00</w:t>
            </w:r>
          </w:p>
        </w:tc>
        <w:tc>
          <w:tcPr>
            <w:tcW w:w="850" w:type="pct"/>
            <w:tcBorders>
              <w:top w:val="nil"/>
              <w:left w:val="nil"/>
              <w:bottom w:val="nil"/>
              <w:right w:val="nil"/>
            </w:tcBorders>
            <w:tcMar>
              <w:top w:w="0" w:type="dxa"/>
              <w:left w:w="0" w:type="dxa"/>
              <w:bottom w:w="0" w:type="dxa"/>
              <w:right w:w="0" w:type="dxa"/>
            </w:tcMar>
            <w:hideMark/>
          </w:tcPr>
          <w:p w14:paraId="314E2B3A" w14:textId="77777777" w:rsidR="00732F7C" w:rsidRPr="00732F7C" w:rsidRDefault="00732F7C" w:rsidP="00732F7C">
            <w:pPr>
              <w:jc w:val="both"/>
            </w:pPr>
            <w:r w:rsidRPr="00732F7C">
              <w:t>$ 13.821.333.00</w:t>
            </w:r>
          </w:p>
        </w:tc>
        <w:tc>
          <w:tcPr>
            <w:tcW w:w="800" w:type="pct"/>
            <w:tcBorders>
              <w:top w:val="nil"/>
              <w:left w:val="nil"/>
              <w:bottom w:val="nil"/>
              <w:right w:val="nil"/>
            </w:tcBorders>
            <w:tcMar>
              <w:top w:w="0" w:type="dxa"/>
              <w:left w:w="0" w:type="dxa"/>
              <w:bottom w:w="0" w:type="dxa"/>
              <w:right w:w="0" w:type="dxa"/>
            </w:tcMar>
            <w:hideMark/>
          </w:tcPr>
          <w:p w14:paraId="1EDD24E4" w14:textId="77777777" w:rsidR="00732F7C" w:rsidRPr="00732F7C" w:rsidRDefault="00732F7C" w:rsidP="00732F7C">
            <w:pPr>
              <w:jc w:val="both"/>
            </w:pPr>
            <w:r w:rsidRPr="00732F7C">
              <w:t>$ 56.250.00</w:t>
            </w:r>
          </w:p>
        </w:tc>
        <w:tc>
          <w:tcPr>
            <w:tcW w:w="700" w:type="pct"/>
            <w:tcBorders>
              <w:top w:val="nil"/>
              <w:left w:val="nil"/>
              <w:bottom w:val="nil"/>
              <w:right w:val="nil"/>
            </w:tcBorders>
            <w:tcMar>
              <w:top w:w="0" w:type="dxa"/>
              <w:left w:w="0" w:type="dxa"/>
              <w:bottom w:w="0" w:type="dxa"/>
              <w:right w:w="0" w:type="dxa"/>
            </w:tcMar>
            <w:hideMark/>
          </w:tcPr>
          <w:p w14:paraId="24DD09FC" w14:textId="77777777" w:rsidR="00732F7C" w:rsidRPr="00732F7C" w:rsidRDefault="00732F7C" w:rsidP="00732F7C">
            <w:pPr>
              <w:jc w:val="both"/>
            </w:pPr>
            <w:r w:rsidRPr="00732F7C">
              <w:t>99.59%</w:t>
            </w:r>
          </w:p>
        </w:tc>
      </w:tr>
      <w:tr w:rsidR="00732F7C" w:rsidRPr="00732F7C" w14:paraId="23095AFE" w14:textId="77777777" w:rsidTr="00732F7C">
        <w:trPr>
          <w:tblCellSpacing w:w="15" w:type="dxa"/>
        </w:trPr>
        <w:tc>
          <w:tcPr>
            <w:tcW w:w="350" w:type="pct"/>
            <w:tcBorders>
              <w:top w:val="nil"/>
              <w:left w:val="nil"/>
              <w:bottom w:val="nil"/>
              <w:right w:val="nil"/>
            </w:tcBorders>
            <w:tcMar>
              <w:top w:w="0" w:type="dxa"/>
              <w:left w:w="0" w:type="dxa"/>
              <w:bottom w:w="0" w:type="dxa"/>
              <w:right w:w="0" w:type="dxa"/>
            </w:tcMar>
            <w:hideMark/>
          </w:tcPr>
          <w:p w14:paraId="534F1791" w14:textId="77777777" w:rsidR="00732F7C" w:rsidRPr="00732F7C" w:rsidRDefault="00732F7C" w:rsidP="00732F7C">
            <w:pPr>
              <w:jc w:val="both"/>
            </w:pPr>
            <w:r w:rsidRPr="00732F7C">
              <w:t>1003</w:t>
            </w:r>
          </w:p>
        </w:tc>
        <w:tc>
          <w:tcPr>
            <w:tcW w:w="400" w:type="pct"/>
            <w:tcBorders>
              <w:top w:val="nil"/>
              <w:left w:val="nil"/>
              <w:bottom w:val="nil"/>
              <w:right w:val="nil"/>
            </w:tcBorders>
            <w:tcMar>
              <w:top w:w="0" w:type="dxa"/>
              <w:left w:w="0" w:type="dxa"/>
              <w:bottom w:w="0" w:type="dxa"/>
              <w:right w:w="0" w:type="dxa"/>
            </w:tcMar>
            <w:hideMark/>
          </w:tcPr>
          <w:p w14:paraId="1C47E733" w14:textId="77777777" w:rsidR="00732F7C" w:rsidRPr="00732F7C" w:rsidRDefault="00732F7C" w:rsidP="00732F7C">
            <w:pPr>
              <w:jc w:val="both"/>
            </w:pPr>
            <w:r w:rsidRPr="00732F7C">
              <w:t>218</w:t>
            </w:r>
          </w:p>
        </w:tc>
        <w:tc>
          <w:tcPr>
            <w:tcW w:w="1000" w:type="pct"/>
            <w:tcBorders>
              <w:top w:val="nil"/>
              <w:left w:val="nil"/>
              <w:bottom w:val="nil"/>
              <w:right w:val="nil"/>
            </w:tcBorders>
            <w:tcMar>
              <w:top w:w="0" w:type="dxa"/>
              <w:left w:w="0" w:type="dxa"/>
              <w:bottom w:w="0" w:type="dxa"/>
              <w:right w:w="0" w:type="dxa"/>
            </w:tcMar>
            <w:hideMark/>
          </w:tcPr>
          <w:p w14:paraId="0D7D5AFC" w14:textId="77777777" w:rsidR="00732F7C" w:rsidRPr="00732F7C" w:rsidRDefault="00732F7C" w:rsidP="00732F7C">
            <w:pPr>
              <w:jc w:val="both"/>
            </w:pPr>
            <w:r w:rsidRPr="00732F7C">
              <w:t>Mobiliario y Enseres</w:t>
            </w:r>
          </w:p>
        </w:tc>
        <w:tc>
          <w:tcPr>
            <w:tcW w:w="900" w:type="pct"/>
            <w:tcBorders>
              <w:top w:val="nil"/>
              <w:left w:val="nil"/>
              <w:bottom w:val="nil"/>
              <w:right w:val="nil"/>
            </w:tcBorders>
            <w:tcMar>
              <w:top w:w="0" w:type="dxa"/>
              <w:left w:w="0" w:type="dxa"/>
              <w:bottom w:w="0" w:type="dxa"/>
              <w:right w:w="0" w:type="dxa"/>
            </w:tcMar>
            <w:hideMark/>
          </w:tcPr>
          <w:p w14:paraId="1D1825A7" w14:textId="77777777" w:rsidR="00732F7C" w:rsidRPr="00732F7C" w:rsidRDefault="00732F7C" w:rsidP="00732F7C">
            <w:pPr>
              <w:jc w:val="both"/>
            </w:pPr>
            <w:r w:rsidRPr="00732F7C">
              <w:t>$ 227.112.104.36</w:t>
            </w:r>
          </w:p>
        </w:tc>
        <w:tc>
          <w:tcPr>
            <w:tcW w:w="850" w:type="pct"/>
            <w:tcBorders>
              <w:top w:val="nil"/>
              <w:left w:val="nil"/>
              <w:bottom w:val="nil"/>
              <w:right w:val="nil"/>
            </w:tcBorders>
            <w:tcMar>
              <w:top w:w="0" w:type="dxa"/>
              <w:left w:w="0" w:type="dxa"/>
              <w:bottom w:w="0" w:type="dxa"/>
              <w:right w:w="0" w:type="dxa"/>
            </w:tcMar>
            <w:hideMark/>
          </w:tcPr>
          <w:p w14:paraId="426942AC" w14:textId="77777777" w:rsidR="00732F7C" w:rsidRPr="00732F7C" w:rsidRDefault="00732F7C" w:rsidP="00732F7C">
            <w:pPr>
              <w:jc w:val="both"/>
            </w:pPr>
            <w:r w:rsidRPr="00732F7C">
              <w:t>$ 223.524.709.64</w:t>
            </w:r>
          </w:p>
        </w:tc>
        <w:tc>
          <w:tcPr>
            <w:tcW w:w="800" w:type="pct"/>
            <w:tcBorders>
              <w:top w:val="nil"/>
              <w:left w:val="nil"/>
              <w:bottom w:val="nil"/>
              <w:right w:val="nil"/>
            </w:tcBorders>
            <w:tcMar>
              <w:top w:w="0" w:type="dxa"/>
              <w:left w:w="0" w:type="dxa"/>
              <w:bottom w:w="0" w:type="dxa"/>
              <w:right w:w="0" w:type="dxa"/>
            </w:tcMar>
            <w:hideMark/>
          </w:tcPr>
          <w:p w14:paraId="5B2F9381" w14:textId="77777777" w:rsidR="00732F7C" w:rsidRPr="00732F7C" w:rsidRDefault="00732F7C" w:rsidP="00732F7C">
            <w:pPr>
              <w:jc w:val="both"/>
            </w:pPr>
            <w:r w:rsidRPr="00732F7C">
              <w:t>$ 3.587.394.72</w:t>
            </w:r>
          </w:p>
        </w:tc>
        <w:tc>
          <w:tcPr>
            <w:tcW w:w="700" w:type="pct"/>
            <w:tcBorders>
              <w:top w:val="nil"/>
              <w:left w:val="nil"/>
              <w:bottom w:val="nil"/>
              <w:right w:val="nil"/>
            </w:tcBorders>
            <w:tcMar>
              <w:top w:w="0" w:type="dxa"/>
              <w:left w:w="0" w:type="dxa"/>
              <w:bottom w:w="0" w:type="dxa"/>
              <w:right w:w="0" w:type="dxa"/>
            </w:tcMar>
            <w:hideMark/>
          </w:tcPr>
          <w:p w14:paraId="4B3A9F98" w14:textId="77777777" w:rsidR="00732F7C" w:rsidRPr="00732F7C" w:rsidRDefault="00732F7C" w:rsidP="00732F7C">
            <w:pPr>
              <w:jc w:val="both"/>
            </w:pPr>
            <w:r w:rsidRPr="00732F7C">
              <w:t>98.42%</w:t>
            </w:r>
          </w:p>
        </w:tc>
      </w:tr>
      <w:tr w:rsidR="00732F7C" w:rsidRPr="00732F7C" w14:paraId="7C0BEAC2" w14:textId="77777777" w:rsidTr="00732F7C">
        <w:trPr>
          <w:tblCellSpacing w:w="15" w:type="dxa"/>
        </w:trPr>
        <w:tc>
          <w:tcPr>
            <w:tcW w:w="1750" w:type="pct"/>
            <w:tcBorders>
              <w:top w:val="nil"/>
              <w:left w:val="nil"/>
              <w:bottom w:val="nil"/>
              <w:right w:val="nil"/>
            </w:tcBorders>
            <w:tcMar>
              <w:top w:w="0" w:type="dxa"/>
              <w:left w:w="0" w:type="dxa"/>
              <w:bottom w:w="0" w:type="dxa"/>
              <w:right w:w="0" w:type="dxa"/>
            </w:tcMar>
            <w:hideMark/>
          </w:tcPr>
          <w:p w14:paraId="38F494C5" w14:textId="77777777" w:rsidR="00732F7C" w:rsidRPr="00732F7C" w:rsidRDefault="00732F7C" w:rsidP="00732F7C">
            <w:pPr>
              <w:jc w:val="both"/>
            </w:pPr>
            <w:proofErr w:type="gramStart"/>
            <w:r w:rsidRPr="00732F7C">
              <w:rPr>
                <w:b/>
                <w:bCs/>
              </w:rPr>
              <w:t>Total</w:t>
            </w:r>
            <w:proofErr w:type="gramEnd"/>
            <w:r w:rsidRPr="00732F7C">
              <w:rPr>
                <w:b/>
                <w:bCs/>
              </w:rPr>
              <w:t xml:space="preserve"> general</w:t>
            </w:r>
          </w:p>
        </w:tc>
        <w:tc>
          <w:tcPr>
            <w:tcW w:w="900" w:type="pct"/>
            <w:tcBorders>
              <w:top w:val="nil"/>
              <w:left w:val="nil"/>
              <w:bottom w:val="nil"/>
              <w:right w:val="nil"/>
            </w:tcBorders>
            <w:tcMar>
              <w:top w:w="0" w:type="dxa"/>
              <w:left w:w="0" w:type="dxa"/>
              <w:bottom w:w="0" w:type="dxa"/>
              <w:right w:w="0" w:type="dxa"/>
            </w:tcMar>
            <w:hideMark/>
          </w:tcPr>
          <w:p w14:paraId="19FC22E2" w14:textId="77777777" w:rsidR="00732F7C" w:rsidRPr="00732F7C" w:rsidRDefault="00732F7C" w:rsidP="00732F7C">
            <w:pPr>
              <w:jc w:val="both"/>
            </w:pPr>
            <w:r w:rsidRPr="00732F7C">
              <w:rPr>
                <w:b/>
                <w:bCs/>
              </w:rPr>
              <w:t>$ 2.158.601.921.63</w:t>
            </w:r>
          </w:p>
        </w:tc>
        <w:tc>
          <w:tcPr>
            <w:tcW w:w="850" w:type="pct"/>
            <w:tcBorders>
              <w:top w:val="nil"/>
              <w:left w:val="nil"/>
              <w:bottom w:val="nil"/>
              <w:right w:val="nil"/>
            </w:tcBorders>
            <w:tcMar>
              <w:top w:w="0" w:type="dxa"/>
              <w:left w:w="0" w:type="dxa"/>
              <w:bottom w:w="0" w:type="dxa"/>
              <w:right w:w="0" w:type="dxa"/>
            </w:tcMar>
            <w:hideMark/>
          </w:tcPr>
          <w:p w14:paraId="78D2FF5B" w14:textId="77777777" w:rsidR="00732F7C" w:rsidRPr="00732F7C" w:rsidRDefault="00732F7C" w:rsidP="00732F7C">
            <w:pPr>
              <w:jc w:val="both"/>
            </w:pPr>
            <w:r w:rsidRPr="00732F7C">
              <w:rPr>
                <w:b/>
                <w:bCs/>
              </w:rPr>
              <w:t>$ 1.822.516.721.92</w:t>
            </w:r>
          </w:p>
        </w:tc>
        <w:tc>
          <w:tcPr>
            <w:tcW w:w="800" w:type="pct"/>
            <w:tcBorders>
              <w:top w:val="nil"/>
              <w:left w:val="nil"/>
              <w:bottom w:val="nil"/>
              <w:right w:val="nil"/>
            </w:tcBorders>
            <w:tcMar>
              <w:top w:w="0" w:type="dxa"/>
              <w:left w:w="0" w:type="dxa"/>
              <w:bottom w:w="0" w:type="dxa"/>
              <w:right w:w="0" w:type="dxa"/>
            </w:tcMar>
            <w:hideMark/>
          </w:tcPr>
          <w:p w14:paraId="519B3C4B" w14:textId="77777777" w:rsidR="00732F7C" w:rsidRPr="00732F7C" w:rsidRDefault="00732F7C" w:rsidP="00732F7C">
            <w:pPr>
              <w:jc w:val="both"/>
            </w:pPr>
            <w:r w:rsidRPr="00732F7C">
              <w:rPr>
                <w:b/>
                <w:bCs/>
              </w:rPr>
              <w:t>$336.085.199.71</w:t>
            </w:r>
          </w:p>
        </w:tc>
        <w:tc>
          <w:tcPr>
            <w:tcW w:w="700" w:type="pct"/>
            <w:gridSpan w:val="3"/>
            <w:tcBorders>
              <w:top w:val="nil"/>
              <w:left w:val="nil"/>
              <w:bottom w:val="nil"/>
              <w:right w:val="nil"/>
            </w:tcBorders>
            <w:tcMar>
              <w:top w:w="0" w:type="dxa"/>
              <w:left w:w="0" w:type="dxa"/>
              <w:bottom w:w="0" w:type="dxa"/>
              <w:right w:w="0" w:type="dxa"/>
            </w:tcMar>
            <w:hideMark/>
          </w:tcPr>
          <w:p w14:paraId="4B64FB5D" w14:textId="77777777" w:rsidR="00732F7C" w:rsidRPr="00732F7C" w:rsidRDefault="00732F7C" w:rsidP="00732F7C">
            <w:pPr>
              <w:jc w:val="both"/>
            </w:pPr>
            <w:r w:rsidRPr="00732F7C">
              <w:rPr>
                <w:b/>
                <w:bCs/>
              </w:rPr>
              <w:t>84.43%</w:t>
            </w:r>
            <w:r w:rsidRPr="00732F7C">
              <w:br/>
            </w:r>
          </w:p>
        </w:tc>
      </w:tr>
    </w:tbl>
    <w:p w14:paraId="703A1BB8" w14:textId="72351097" w:rsidR="00732F7C" w:rsidRPr="00732F7C" w:rsidRDefault="00732F7C" w:rsidP="00732F7C">
      <w:pPr>
        <w:jc w:val="both"/>
      </w:pPr>
      <w:bookmarkStart w:id="2" w:name="3"/>
      <w:r w:rsidRPr="00732F7C">
        <w:rPr>
          <w:b/>
          <w:bCs/>
        </w:rPr>
        <w:t>ARTÍCULO 3o.</w:t>
      </w:r>
      <w:bookmarkEnd w:id="2"/>
      <w:r w:rsidRPr="00732F7C">
        <w:t> </w:t>
      </w:r>
      <w:r w:rsidR="00A50F05">
        <w:rPr>
          <w:b/>
          <w:bCs/>
        </w:rPr>
        <w:t>[</w:t>
      </w:r>
      <w:r w:rsidRPr="00732F7C">
        <w:rPr>
          <w:b/>
          <w:bCs/>
        </w:rPr>
        <w:t>Resolución derogada por el artículo </w:t>
      </w:r>
      <w:r w:rsidRPr="00732F7C">
        <w:t>6</w:t>
      </w:r>
      <w:r w:rsidRPr="00732F7C">
        <w:rPr>
          <w:b/>
          <w:bCs/>
        </w:rPr>
        <w:t> de la Resolución 7460 de 2014</w:t>
      </w:r>
      <w:r w:rsidR="00A50F05">
        <w:rPr>
          <w:b/>
          <w:bCs/>
        </w:rPr>
        <w:t>]</w:t>
      </w:r>
      <w:r w:rsidRPr="00732F7C">
        <w:rPr>
          <w:b/>
          <w:bCs/>
        </w:rPr>
        <w:t> </w:t>
      </w:r>
      <w:r w:rsidRPr="00732F7C">
        <w:t>Designar y autorizar al Almacenista de la Sede de la Dirección General para realizar la entrega de los bienes subastados a los adjudicatarios, previa elaboración de las correspondientes órdenes de salida de Almacén soportadas en el acta de adjudicación y del documento que confirme el pago de los bienes vendidos a los adjudicatarios.</w:t>
      </w:r>
    </w:p>
    <w:p w14:paraId="00465CCE" w14:textId="77777777" w:rsidR="00732F7C" w:rsidRPr="00732F7C" w:rsidRDefault="00732F7C" w:rsidP="00732F7C">
      <w:pPr>
        <w:jc w:val="both"/>
      </w:pPr>
      <w:r w:rsidRPr="00732F7C">
        <w:rPr>
          <w:b/>
          <w:bCs/>
        </w:rPr>
        <w:t>PARÁGRAFO.</w:t>
      </w:r>
      <w:r w:rsidRPr="00732F7C">
        <w:t> Los bienes que no sean adjudicados en la subasta volverán a surtir el mismo procedimiento.</w:t>
      </w:r>
    </w:p>
    <w:p w14:paraId="26630129" w14:textId="305E6C18" w:rsidR="00732F7C" w:rsidRPr="00732F7C" w:rsidRDefault="00732F7C" w:rsidP="00732F7C">
      <w:pPr>
        <w:jc w:val="both"/>
      </w:pPr>
      <w:bookmarkStart w:id="3" w:name="4"/>
      <w:r w:rsidRPr="00732F7C">
        <w:rPr>
          <w:b/>
          <w:bCs/>
        </w:rPr>
        <w:lastRenderedPageBreak/>
        <w:t>ARTÍCULO 4o.</w:t>
      </w:r>
      <w:bookmarkEnd w:id="3"/>
      <w:r w:rsidRPr="00732F7C">
        <w:t> </w:t>
      </w:r>
      <w:r w:rsidR="00A50F05">
        <w:rPr>
          <w:b/>
          <w:bCs/>
        </w:rPr>
        <w:t>[</w:t>
      </w:r>
      <w:r w:rsidRPr="00732F7C">
        <w:rPr>
          <w:b/>
          <w:bCs/>
        </w:rPr>
        <w:t>Resolución derogada por el artículo </w:t>
      </w:r>
      <w:r w:rsidRPr="00732F7C">
        <w:t>6</w:t>
      </w:r>
      <w:r w:rsidRPr="00732F7C">
        <w:rPr>
          <w:b/>
          <w:bCs/>
        </w:rPr>
        <w:t> de la Resolución 7460 de 2014</w:t>
      </w:r>
      <w:r w:rsidR="00A50F05">
        <w:rPr>
          <w:b/>
          <w:bCs/>
        </w:rPr>
        <w:t>]</w:t>
      </w:r>
      <w:r w:rsidRPr="00732F7C">
        <w:rPr>
          <w:b/>
          <w:bCs/>
        </w:rPr>
        <w:t> </w:t>
      </w:r>
      <w:r w:rsidRPr="00732F7C">
        <w:t>La presente resolución rige a partir de la fecha de su expedición.</w:t>
      </w:r>
    </w:p>
    <w:p w14:paraId="3F304FD2" w14:textId="77777777" w:rsidR="00732F7C" w:rsidRPr="00A50F05" w:rsidRDefault="00732F7C" w:rsidP="00732F7C">
      <w:pPr>
        <w:jc w:val="center"/>
        <w:rPr>
          <w:b/>
          <w:bCs/>
        </w:rPr>
      </w:pPr>
      <w:r w:rsidRPr="00A50F05">
        <w:rPr>
          <w:b/>
          <w:bCs/>
        </w:rPr>
        <w:t>Publíquese, comuníquese y cúmplase.</w:t>
      </w:r>
    </w:p>
    <w:p w14:paraId="3B730FEB" w14:textId="73DF71D3" w:rsidR="00732F7C" w:rsidRPr="00732F7C" w:rsidRDefault="00732F7C" w:rsidP="00732F7C">
      <w:pPr>
        <w:jc w:val="center"/>
      </w:pPr>
      <w:r w:rsidRPr="00732F7C">
        <w:t xml:space="preserve">Dada en Bogotá, D. C., </w:t>
      </w:r>
      <w:proofErr w:type="gramStart"/>
      <w:r w:rsidRPr="00732F7C">
        <w:t xml:space="preserve">a </w:t>
      </w:r>
      <w:r>
        <w:t xml:space="preserve">los </w:t>
      </w:r>
      <w:r w:rsidRPr="00732F7C">
        <w:t>13 de noviembre de 2013</w:t>
      </w:r>
      <w:proofErr w:type="gramEnd"/>
      <w:r w:rsidRPr="00732F7C">
        <w:t>.</w:t>
      </w:r>
    </w:p>
    <w:p w14:paraId="48368209" w14:textId="77777777" w:rsidR="00732F7C" w:rsidRPr="00732F7C" w:rsidRDefault="00732F7C" w:rsidP="00732F7C">
      <w:pPr>
        <w:jc w:val="center"/>
      </w:pPr>
      <w:r w:rsidRPr="00732F7C">
        <w:t xml:space="preserve">El </w:t>
      </w:r>
      <w:proofErr w:type="gramStart"/>
      <w:r w:rsidRPr="00732F7C">
        <w:t>Director General</w:t>
      </w:r>
      <w:proofErr w:type="gramEnd"/>
      <w:r w:rsidRPr="00732F7C">
        <w:t>,</w:t>
      </w:r>
    </w:p>
    <w:p w14:paraId="6E278109" w14:textId="77777777" w:rsidR="00732F7C" w:rsidRPr="00732F7C" w:rsidRDefault="00732F7C" w:rsidP="00732F7C">
      <w:pPr>
        <w:jc w:val="center"/>
      </w:pPr>
      <w:r w:rsidRPr="00732F7C">
        <w:rPr>
          <w:b/>
          <w:bCs/>
        </w:rPr>
        <w:t>MARCO AURELIO ZULUAGA GIRALDO.</w:t>
      </w:r>
    </w:p>
    <w:p w14:paraId="0A8C57B9" w14:textId="77777777" w:rsidR="0081255F" w:rsidRDefault="0081255F" w:rsidP="00732F7C">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8B"/>
    <w:rsid w:val="000D448B"/>
    <w:rsid w:val="00247314"/>
    <w:rsid w:val="00730736"/>
    <w:rsid w:val="00732F7C"/>
    <w:rsid w:val="0081255F"/>
    <w:rsid w:val="00A50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9917"/>
  <w15:chartTrackingRefBased/>
  <w15:docId w15:val="{02E2E378-6CE0-442D-8855-62D6102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2F7C"/>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32F7C"/>
    <w:rPr>
      <w:color w:val="0563C1" w:themeColor="hyperlink"/>
      <w:u w:val="single"/>
    </w:rPr>
  </w:style>
  <w:style w:type="character" w:styleId="Mencinsinresolver">
    <w:name w:val="Unresolved Mention"/>
    <w:basedOn w:val="Fuentedeprrafopredeter"/>
    <w:uiPriority w:val="99"/>
    <w:semiHidden/>
    <w:unhideWhenUsed/>
    <w:rsid w:val="00732F7C"/>
    <w:rPr>
      <w:color w:val="605E5C"/>
      <w:shd w:val="clear" w:color="auto" w:fill="E1DFDD"/>
    </w:rPr>
  </w:style>
  <w:style w:type="paragraph" w:styleId="Sinespaciado">
    <w:name w:val="No Spacing"/>
    <w:uiPriority w:val="1"/>
    <w:qFormat/>
    <w:rsid w:val="00A50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5445">
      <w:bodyDiv w:val="1"/>
      <w:marLeft w:val="0"/>
      <w:marRight w:val="0"/>
      <w:marTop w:val="0"/>
      <w:marBottom w:val="0"/>
      <w:divBdr>
        <w:top w:val="none" w:sz="0" w:space="0" w:color="auto"/>
        <w:left w:val="none" w:sz="0" w:space="0" w:color="auto"/>
        <w:bottom w:val="none" w:sz="0" w:space="0" w:color="auto"/>
        <w:right w:val="none" w:sz="0" w:space="0" w:color="auto"/>
      </w:divBdr>
    </w:div>
    <w:div w:id="282611885">
      <w:bodyDiv w:val="1"/>
      <w:marLeft w:val="0"/>
      <w:marRight w:val="0"/>
      <w:marTop w:val="0"/>
      <w:marBottom w:val="0"/>
      <w:divBdr>
        <w:top w:val="none" w:sz="0" w:space="0" w:color="auto"/>
        <w:left w:val="none" w:sz="0" w:space="0" w:color="auto"/>
        <w:bottom w:val="none" w:sz="0" w:space="0" w:color="auto"/>
        <w:right w:val="none" w:sz="0" w:space="0" w:color="auto"/>
      </w:divBdr>
    </w:div>
    <w:div w:id="485053878">
      <w:bodyDiv w:val="1"/>
      <w:marLeft w:val="0"/>
      <w:marRight w:val="0"/>
      <w:marTop w:val="0"/>
      <w:marBottom w:val="0"/>
      <w:divBdr>
        <w:top w:val="none" w:sz="0" w:space="0" w:color="auto"/>
        <w:left w:val="none" w:sz="0" w:space="0" w:color="auto"/>
        <w:bottom w:val="none" w:sz="0" w:space="0" w:color="auto"/>
        <w:right w:val="none" w:sz="0" w:space="0" w:color="auto"/>
      </w:divBdr>
    </w:div>
    <w:div w:id="996347747">
      <w:bodyDiv w:val="1"/>
      <w:marLeft w:val="0"/>
      <w:marRight w:val="0"/>
      <w:marTop w:val="0"/>
      <w:marBottom w:val="0"/>
      <w:divBdr>
        <w:top w:val="none" w:sz="0" w:space="0" w:color="auto"/>
        <w:left w:val="none" w:sz="0" w:space="0" w:color="auto"/>
        <w:bottom w:val="none" w:sz="0" w:space="0" w:color="auto"/>
        <w:right w:val="none" w:sz="0" w:space="0" w:color="auto"/>
      </w:divBdr>
    </w:div>
    <w:div w:id="1019888760">
      <w:bodyDiv w:val="1"/>
      <w:marLeft w:val="0"/>
      <w:marRight w:val="0"/>
      <w:marTop w:val="0"/>
      <w:marBottom w:val="0"/>
      <w:divBdr>
        <w:top w:val="none" w:sz="0" w:space="0" w:color="auto"/>
        <w:left w:val="none" w:sz="0" w:space="0" w:color="auto"/>
        <w:bottom w:val="none" w:sz="0" w:space="0" w:color="auto"/>
        <w:right w:val="none" w:sz="0" w:space="0" w:color="auto"/>
      </w:divBdr>
    </w:div>
    <w:div w:id="1123307436">
      <w:bodyDiv w:val="1"/>
      <w:marLeft w:val="0"/>
      <w:marRight w:val="0"/>
      <w:marTop w:val="0"/>
      <w:marBottom w:val="0"/>
      <w:divBdr>
        <w:top w:val="none" w:sz="0" w:space="0" w:color="auto"/>
        <w:left w:val="none" w:sz="0" w:space="0" w:color="auto"/>
        <w:bottom w:val="none" w:sz="0" w:space="0" w:color="auto"/>
        <w:right w:val="none" w:sz="0" w:space="0" w:color="auto"/>
      </w:divBdr>
    </w:div>
    <w:div w:id="1858616672">
      <w:bodyDiv w:val="1"/>
      <w:marLeft w:val="0"/>
      <w:marRight w:val="0"/>
      <w:marTop w:val="0"/>
      <w:marBottom w:val="0"/>
      <w:divBdr>
        <w:top w:val="none" w:sz="0" w:space="0" w:color="auto"/>
        <w:left w:val="none" w:sz="0" w:space="0" w:color="auto"/>
        <w:bottom w:val="none" w:sz="0" w:space="0" w:color="auto"/>
        <w:right w:val="none" w:sz="0" w:space="0" w:color="auto"/>
      </w:divBdr>
    </w:div>
    <w:div w:id="1887060823">
      <w:bodyDiv w:val="1"/>
      <w:marLeft w:val="0"/>
      <w:marRight w:val="0"/>
      <w:marTop w:val="0"/>
      <w:marBottom w:val="0"/>
      <w:divBdr>
        <w:top w:val="none" w:sz="0" w:space="0" w:color="auto"/>
        <w:left w:val="none" w:sz="0" w:space="0" w:color="auto"/>
        <w:bottom w:val="none" w:sz="0" w:space="0" w:color="auto"/>
        <w:right w:val="none" w:sz="0" w:space="0" w:color="auto"/>
      </w:divBdr>
    </w:div>
    <w:div w:id="1913617262">
      <w:bodyDiv w:val="1"/>
      <w:marLeft w:val="0"/>
      <w:marRight w:val="0"/>
      <w:marTop w:val="0"/>
      <w:marBottom w:val="0"/>
      <w:divBdr>
        <w:top w:val="none" w:sz="0" w:space="0" w:color="auto"/>
        <w:left w:val="none" w:sz="0" w:space="0" w:color="auto"/>
        <w:bottom w:val="none" w:sz="0" w:space="0" w:color="auto"/>
        <w:right w:val="none" w:sz="0" w:space="0" w:color="auto"/>
      </w:divBdr>
    </w:div>
    <w:div w:id="19423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ED7D9-95EB-44B8-88EF-A4A2D9993E36}"/>
</file>

<file path=customXml/itemProps2.xml><?xml version="1.0" encoding="utf-8"?>
<ds:datastoreItem xmlns:ds="http://schemas.openxmlformats.org/officeDocument/2006/customXml" ds:itemID="{AE92673C-F5C8-420A-8B6B-606DAF9D0791}"/>
</file>

<file path=customXml/itemProps3.xml><?xml version="1.0" encoding="utf-8"?>
<ds:datastoreItem xmlns:ds="http://schemas.openxmlformats.org/officeDocument/2006/customXml" ds:itemID="{CFE070EC-7830-48B5-8A5D-E3254CDDD39E}"/>
</file>

<file path=docProps/app.xml><?xml version="1.0" encoding="utf-8"?>
<Properties xmlns="http://schemas.openxmlformats.org/officeDocument/2006/extended-properties" xmlns:vt="http://schemas.openxmlformats.org/officeDocument/2006/docPropsVTypes">
  <Template>Normal</Template>
  <TotalTime>3</TotalTime>
  <Pages>6</Pages>
  <Words>1609</Words>
  <Characters>8516</Characters>
  <Application>Microsoft Office Word</Application>
  <DocSecurity>0</DocSecurity>
  <Lines>354</Lines>
  <Paragraphs>158</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2026-01-14T19:32:00Z</dcterms:created>
  <dcterms:modified xsi:type="dcterms:W3CDTF">2026-01-14T19:32:00Z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