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990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RESOLUCIÓN 1030 DE 2004</w:t>
      </w:r>
    </w:p>
    <w:p w14:paraId="5A1BD34A" w14:textId="77777777" w:rsidR="008D409F" w:rsidRPr="008D409F" w:rsidRDefault="008D409F" w:rsidP="008D409F">
      <w:pPr>
        <w:pStyle w:val="Sinespaciado"/>
        <w:rPr>
          <w:rFonts w:ascii="Verdana" w:hAnsi="Verdana"/>
          <w:sz w:val="20"/>
          <w:szCs w:val="20"/>
        </w:rPr>
      </w:pPr>
      <w:r w:rsidRPr="008D409F">
        <w:rPr>
          <w:rFonts w:ascii="Verdana" w:hAnsi="Verdana"/>
          <w:sz w:val="20"/>
          <w:szCs w:val="20"/>
        </w:rPr>
        <w:t>Fecha de Expedición: 16 de junio de 2004</w:t>
      </w:r>
    </w:p>
    <w:p w14:paraId="7885B0BF" w14:textId="77777777" w:rsidR="008D409F" w:rsidRPr="008D409F" w:rsidRDefault="008D409F" w:rsidP="008D409F">
      <w:pPr>
        <w:pStyle w:val="Sinespaciado"/>
        <w:rPr>
          <w:rFonts w:ascii="Verdana" w:hAnsi="Verdana"/>
          <w:sz w:val="20"/>
          <w:szCs w:val="20"/>
        </w:rPr>
      </w:pPr>
      <w:r w:rsidRPr="008D409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D409F">
        <w:rPr>
          <w:rFonts w:ascii="Verdana" w:hAnsi="Verdana"/>
          <w:sz w:val="20"/>
          <w:szCs w:val="20"/>
        </w:rPr>
        <w:t>entrada en vigencia</w:t>
      </w:r>
      <w:proofErr w:type="gramEnd"/>
      <w:r w:rsidRPr="008D409F">
        <w:rPr>
          <w:rFonts w:ascii="Verdana" w:hAnsi="Verdana"/>
          <w:sz w:val="20"/>
          <w:szCs w:val="20"/>
        </w:rPr>
        <w:t>: 16 de junio de 2004</w:t>
      </w:r>
    </w:p>
    <w:p w14:paraId="62AB52E5" w14:textId="144940C5" w:rsidR="008D409F" w:rsidRDefault="008D409F" w:rsidP="008D409F">
      <w:pPr>
        <w:pStyle w:val="Sinespaciado"/>
        <w:rPr>
          <w:rFonts w:ascii="Verdana" w:hAnsi="Verdana"/>
          <w:sz w:val="20"/>
          <w:szCs w:val="20"/>
        </w:rPr>
      </w:pPr>
      <w:r w:rsidRPr="008D409F">
        <w:rPr>
          <w:rFonts w:ascii="Verdana" w:hAnsi="Verdana"/>
          <w:sz w:val="20"/>
          <w:szCs w:val="20"/>
        </w:rPr>
        <w:t>Estado de la vigencia: derogada por el artículo 98 de la Resolución 1615 de 2006.</w:t>
      </w:r>
      <w:r w:rsidRPr="008D409F">
        <w:rPr>
          <w:rFonts w:ascii="Verdana" w:hAnsi="Verdana"/>
          <w:sz w:val="20"/>
          <w:szCs w:val="20"/>
        </w:rPr>
        <w:tab/>
      </w:r>
    </w:p>
    <w:p w14:paraId="22E708CC" w14:textId="77777777" w:rsidR="008D409F" w:rsidRDefault="008D409F" w:rsidP="008D409F">
      <w:pPr>
        <w:pStyle w:val="Sinespaciado"/>
        <w:rPr>
          <w:rFonts w:ascii="Verdana" w:hAnsi="Verdana"/>
          <w:sz w:val="20"/>
          <w:szCs w:val="20"/>
        </w:rPr>
      </w:pPr>
    </w:p>
    <w:p w14:paraId="47A1699C" w14:textId="6198183F" w:rsidR="008D409F" w:rsidRPr="008D409F" w:rsidRDefault="008D409F" w:rsidP="008D409F">
      <w:pPr>
        <w:pStyle w:val="Sinespaciado"/>
        <w:rPr>
          <w:rFonts w:ascii="Verdana" w:hAnsi="Verdana"/>
          <w:sz w:val="20"/>
          <w:szCs w:val="20"/>
        </w:rPr>
      </w:pPr>
      <w:r w:rsidRPr="008D409F">
        <w:rPr>
          <w:rFonts w:ascii="Verdana" w:hAnsi="Verdana"/>
          <w:sz w:val="20"/>
          <w:szCs w:val="20"/>
        </w:rPr>
        <w:t>Fecha de publicación en Diario Oficial: N/A</w:t>
      </w:r>
    </w:p>
    <w:p w14:paraId="315F70D8" w14:textId="165D5DF1" w:rsidR="00950392" w:rsidRDefault="008D409F" w:rsidP="008D409F">
      <w:pPr>
        <w:pStyle w:val="Sinespaciado"/>
        <w:rPr>
          <w:rFonts w:ascii="Verdana" w:hAnsi="Verdana"/>
          <w:sz w:val="20"/>
          <w:szCs w:val="20"/>
        </w:rPr>
      </w:pPr>
      <w:r w:rsidRPr="008D409F">
        <w:rPr>
          <w:rFonts w:ascii="Verdana" w:hAnsi="Verdana"/>
          <w:sz w:val="20"/>
          <w:szCs w:val="20"/>
        </w:rPr>
        <w:t>Número del Diario Oficial: N/A</w:t>
      </w:r>
    </w:p>
    <w:p w14:paraId="1A9E9207" w14:textId="77777777" w:rsidR="008D409F" w:rsidRPr="008D409F" w:rsidRDefault="008D409F" w:rsidP="008D409F">
      <w:pPr>
        <w:pStyle w:val="Sinespaciado"/>
        <w:rPr>
          <w:rFonts w:ascii="Verdana" w:hAnsi="Verdana"/>
          <w:sz w:val="20"/>
          <w:szCs w:val="20"/>
        </w:rPr>
      </w:pPr>
    </w:p>
    <w:p w14:paraId="2235B2D8" w14:textId="4B0F9F4F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RESOLUCIÓN 1030 DE 2004</w:t>
      </w:r>
    </w:p>
    <w:p w14:paraId="011AD247" w14:textId="0BEE58F6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</w:rPr>
        <w:t xml:space="preserve">(16 </w:t>
      </w:r>
      <w:r>
        <w:rPr>
          <w:rFonts w:ascii="Verdana" w:hAnsi="Verdana"/>
        </w:rPr>
        <w:t xml:space="preserve">de </w:t>
      </w:r>
      <w:r w:rsidRPr="00193603">
        <w:rPr>
          <w:rFonts w:ascii="Verdana" w:hAnsi="Verdana"/>
        </w:rPr>
        <w:t>junio)</w:t>
      </w:r>
    </w:p>
    <w:p w14:paraId="14494CA9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INSTITUTO COLOMBIANO DE BIENESTAR FAMILIAR – ICBF</w:t>
      </w:r>
    </w:p>
    <w:p w14:paraId="39D0B36F" w14:textId="12BF6085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</w:rPr>
        <w:t>“Por la cual se modifica parcialmente la Resolución 2877 del 31 de diciembre de 2003”</w:t>
      </w:r>
    </w:p>
    <w:p w14:paraId="7F830F7C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LA DIRECTORA GENERAL</w:t>
      </w:r>
    </w:p>
    <w:p w14:paraId="61F5F717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DEL INSTITUTO COLOMBIANO DE BIENESTAR FAMILIAR</w:t>
      </w:r>
    </w:p>
    <w:p w14:paraId="34150EB0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</w:rPr>
        <w:t>En uso de sus facultades legales y estatutarias,</w:t>
      </w:r>
    </w:p>
    <w:p w14:paraId="26E14DE8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CONSIDERANDO:</w:t>
      </w:r>
    </w:p>
    <w:p w14:paraId="4848FD57" w14:textId="3AB2FBD3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</w:rPr>
        <w:t>Que mediante Resolución 2877 del 31 de diciembre de 2003 se fijaron los Lineamientos Financieros para la Ejecución y Control del Presupuesto de Ingresos, Rentas y Recursos de Capital y Gastos, asignado a las Regionales y Agencias del INSTITUTO COLOMBIANO DE BIENESTAR FAMILIAR, para la vigencia fiscal del año 2004 y se delegan algunas facultades.</w:t>
      </w:r>
    </w:p>
    <w:p w14:paraId="332BC3D4" w14:textId="2326440E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</w:rPr>
        <w:t>Que con el fin de agilizar los procedimientos en materia de: traslados presupuestales internos, consignación de recursos y arqueos a cajas en el Nivel Nacional, Sede Nacional, Regionales y Agencias, se hace necesario modificar parcialmente la Resolución 2877 del 31 de diciembre de 2003.</w:t>
      </w:r>
    </w:p>
    <w:p w14:paraId="310471F6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</w:rPr>
        <w:t>Que así mismo, se hace necesario corregir imprecisiones de redacción en algunos artículos.</w:t>
      </w:r>
    </w:p>
    <w:p w14:paraId="1294AAF5" w14:textId="77777777" w:rsidR="00193603" w:rsidRPr="00193603" w:rsidRDefault="00193603" w:rsidP="00193603">
      <w:pPr>
        <w:jc w:val="both"/>
        <w:rPr>
          <w:rFonts w:ascii="Verdana" w:hAnsi="Verdana"/>
        </w:rPr>
      </w:pPr>
      <w:proofErr w:type="gramStart"/>
      <w:r w:rsidRPr="00193603">
        <w:rPr>
          <w:rFonts w:ascii="Verdana" w:hAnsi="Verdana"/>
        </w:rPr>
        <w:t>Que</w:t>
      </w:r>
      <w:proofErr w:type="gramEnd"/>
      <w:r w:rsidRPr="00193603">
        <w:rPr>
          <w:rFonts w:ascii="Verdana" w:hAnsi="Verdana"/>
        </w:rPr>
        <w:t xml:space="preserve"> en virtud de lo anterior,</w:t>
      </w:r>
    </w:p>
    <w:p w14:paraId="6C6F4282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RESUELVE:</w:t>
      </w:r>
    </w:p>
    <w:p w14:paraId="03575656" w14:textId="5946840E" w:rsidR="00193603" w:rsidRPr="00193603" w:rsidRDefault="00193603" w:rsidP="00193603">
      <w:pPr>
        <w:jc w:val="both"/>
        <w:rPr>
          <w:rFonts w:ascii="Verdana" w:hAnsi="Verdana"/>
        </w:rPr>
      </w:pPr>
      <w:bookmarkStart w:id="0" w:name="1"/>
      <w:r w:rsidRPr="00193603">
        <w:rPr>
          <w:rFonts w:ascii="Verdana" w:hAnsi="Verdana"/>
          <w:b/>
          <w:bCs/>
        </w:rPr>
        <w:t>ARTÍCULO 1o.</w:t>
      </w:r>
      <w:bookmarkEnd w:id="0"/>
      <w:r w:rsidRPr="00193603">
        <w:rPr>
          <w:rFonts w:ascii="Verdana" w:hAnsi="Verdana"/>
        </w:rPr>
        <w:t xml:space="preserve"> Modificar los literales b), c) y d) del Artículo 4° de la Resolución 2877 del 31 de diciembre de 2003, los cuales quedarán así:</w:t>
      </w:r>
    </w:p>
    <w:p w14:paraId="4897E44E" w14:textId="4038B2AC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>“ARTÍCULO 4º (…)</w:t>
      </w:r>
      <w:r w:rsidRPr="00193603">
        <w:rPr>
          <w:rFonts w:ascii="Verdana" w:hAnsi="Verdana"/>
        </w:rPr>
        <w:t> </w:t>
      </w:r>
      <w:r w:rsidRPr="00193603">
        <w:rPr>
          <w:rFonts w:ascii="Verdana" w:hAnsi="Verdana"/>
          <w:i/>
          <w:iCs/>
        </w:rPr>
        <w:t xml:space="preserve">b) En la cuenta Gastos Generales, en el Objeto del Gasto Adquisición de Bienes, se podrán realizar los traslados dentro de los ordinales Compra de Equipo y Materiales y Suministros, así como también entre los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 xml:space="preserve"> que componen dichos ordinales, exceptuando Dotación de Servidores Públicos.</w:t>
      </w:r>
    </w:p>
    <w:p w14:paraId="061E4D9F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lastRenderedPageBreak/>
        <w:t xml:space="preserve">De los ordinales y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 xml:space="preserve"> que componen el Objeto del Gasto Adquisición de Bienes, </w:t>
      </w:r>
      <w:r w:rsidRPr="00193603">
        <w:rPr>
          <w:rFonts w:ascii="Verdana" w:hAnsi="Verdana"/>
        </w:rPr>
        <w:t>se </w:t>
      </w:r>
      <w:r w:rsidRPr="00193603">
        <w:rPr>
          <w:rFonts w:ascii="Verdana" w:hAnsi="Verdana"/>
          <w:i/>
          <w:iCs/>
        </w:rPr>
        <w:t>podrá trasladar a Gravamen de Movimientos Financieros (GMF) respectivo y viceversa, con base en la Estructura Presupuestal Interna del Instituto Colombiano de Bienestar Familiar, para el año 2004</w:t>
      </w:r>
      <w:r w:rsidRPr="00193603">
        <w:rPr>
          <w:rFonts w:ascii="Verdana" w:hAnsi="Verdana"/>
        </w:rPr>
        <w:t>.</w:t>
      </w:r>
    </w:p>
    <w:p w14:paraId="5394729A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>c) En la cuenta Gastos Generales, en el Objeto del Gasto Adquisición de servicios, se podrán realizar traslados, así:</w:t>
      </w:r>
    </w:p>
    <w:p w14:paraId="00FD4D60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En el Ordinal Mantenimiento sólo podrán realizar traslados presupuéstales entre los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 xml:space="preserve"> que componen el </w:t>
      </w:r>
      <w:proofErr w:type="spellStart"/>
      <w:r w:rsidRPr="00193603">
        <w:rPr>
          <w:rFonts w:ascii="Verdana" w:hAnsi="Verdana"/>
          <w:i/>
          <w:iCs/>
        </w:rPr>
        <w:t>subordinal</w:t>
      </w:r>
      <w:proofErr w:type="spellEnd"/>
      <w:r w:rsidRPr="00193603">
        <w:rPr>
          <w:rFonts w:ascii="Verdana" w:hAnsi="Verdana"/>
          <w:i/>
          <w:iCs/>
        </w:rPr>
        <w:t xml:space="preserve"> Otros Mantenimientos.</w:t>
      </w:r>
    </w:p>
    <w:p w14:paraId="108DFDAC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En los Ordinales Servicios Públicos, Arrendamientos y Viáticos y Gastos de Viaje, solo podrán realizar traslados presupuéstales entre los respectivos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 xml:space="preserve"> que componen cada uno de estos ordinales.</w:t>
      </w:r>
    </w:p>
    <w:p w14:paraId="32495FE4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En los demás ordinales y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 xml:space="preserve"> que componen el Objeto del Gasto Adquisición de Servicios podrán realizar traslados presupuestales entre los Ordinales y sus respectivos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>.</w:t>
      </w:r>
    </w:p>
    <w:p w14:paraId="43F079D8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De los ordinales y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 xml:space="preserve"> que componen el Objeto del Gasto Adquisición de Servicios, se podrá trasladar a Gravamen de Movimientos Financieros (GMF) respectivo y viceversa, con base en la Estructura Presupuestal Interna del Instituto Colombiano de Bienestar Familiar, para el año 2004.</w:t>
      </w:r>
    </w:p>
    <w:p w14:paraId="7B7F24A6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d) En la Cuenta Gastos Generales en el Objeto de Gasto Impuestos y Multas, se podrán realizar traslados entre los ordinales y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>.</w:t>
      </w:r>
    </w:p>
    <w:p w14:paraId="494D3C98" w14:textId="0E3A419F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De los ordinales y </w:t>
      </w:r>
      <w:proofErr w:type="spellStart"/>
      <w:r w:rsidRPr="00193603">
        <w:rPr>
          <w:rFonts w:ascii="Verdana" w:hAnsi="Verdana"/>
          <w:i/>
          <w:iCs/>
        </w:rPr>
        <w:t>subordinales</w:t>
      </w:r>
      <w:proofErr w:type="spellEnd"/>
      <w:r w:rsidRPr="00193603">
        <w:rPr>
          <w:rFonts w:ascii="Verdana" w:hAnsi="Verdana"/>
          <w:i/>
          <w:iCs/>
        </w:rPr>
        <w:t xml:space="preserve"> que componen el Objeto del Gasto Impuestos y Multas, se podrá trasladar a Gravamen de Movimientos Financieros (GMF) respectivo y viceversa, con base en la Estructura Presupuestal Interna del Instituto Colombiano de Bienestar Familiar, para el año 2004.”.</w:t>
      </w:r>
    </w:p>
    <w:p w14:paraId="331A71C8" w14:textId="0144F9A9" w:rsidR="00193603" w:rsidRPr="00193603" w:rsidRDefault="00193603" w:rsidP="00193603">
      <w:pPr>
        <w:jc w:val="both"/>
        <w:rPr>
          <w:rFonts w:ascii="Verdana" w:hAnsi="Verdana"/>
        </w:rPr>
      </w:pPr>
      <w:bookmarkStart w:id="1" w:name="2"/>
      <w:r w:rsidRPr="00193603">
        <w:rPr>
          <w:rFonts w:ascii="Verdana" w:hAnsi="Verdana"/>
          <w:b/>
          <w:bCs/>
        </w:rPr>
        <w:t>ARTÍCULO 2o.</w:t>
      </w:r>
      <w:bookmarkEnd w:id="1"/>
      <w:r w:rsidRPr="00193603">
        <w:rPr>
          <w:rFonts w:ascii="Verdana" w:hAnsi="Verdana"/>
        </w:rPr>
        <w:t>  Modificar el Artículo 6 de la Resolución 2877 del 31 de diciembre de 2003, el cual quedará así:</w:t>
      </w:r>
    </w:p>
    <w:p w14:paraId="188BC1FA" w14:textId="4DCB6C1A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>“ARTÍCULO 6: La solicitud de traslados presupuestales en el nivel de proyecto y modalidad en el Presupuesto de Inversión, que componen los proyectos diferentes al 310 300 </w:t>
      </w:r>
      <w:r w:rsidRPr="00193603">
        <w:rPr>
          <w:rFonts w:ascii="Verdana" w:hAnsi="Verdana"/>
          <w:b/>
          <w:bCs/>
          <w:i/>
          <w:iCs/>
        </w:rPr>
        <w:t>002</w:t>
      </w:r>
      <w:r w:rsidRPr="00193603">
        <w:rPr>
          <w:rFonts w:ascii="Verdana" w:hAnsi="Verdana"/>
          <w:i/>
          <w:iCs/>
        </w:rPr>
        <w:t xml:space="preserve"> Asistencia para el fortalecimiento del SNBF para la prestación del servicio </w:t>
      </w:r>
      <w:proofErr w:type="spellStart"/>
      <w:r w:rsidRPr="00193603">
        <w:rPr>
          <w:rFonts w:ascii="Verdana" w:hAnsi="Verdana"/>
          <w:i/>
          <w:iCs/>
        </w:rPr>
        <w:t>publico</w:t>
      </w:r>
      <w:proofErr w:type="spellEnd"/>
      <w:r w:rsidRPr="00193603">
        <w:rPr>
          <w:rFonts w:ascii="Verdana" w:hAnsi="Verdana"/>
          <w:i/>
          <w:iCs/>
        </w:rPr>
        <w:t xml:space="preserve"> de bienestar familiar, 320 1501 </w:t>
      </w:r>
      <w:r w:rsidRPr="00193603">
        <w:rPr>
          <w:rFonts w:ascii="Verdana" w:hAnsi="Verdana"/>
          <w:b/>
          <w:bCs/>
          <w:i/>
          <w:iCs/>
        </w:rPr>
        <w:t>131</w:t>
      </w:r>
      <w:r w:rsidRPr="00193603">
        <w:rPr>
          <w:rFonts w:ascii="Verdana" w:hAnsi="Verdana"/>
          <w:i/>
          <w:iCs/>
        </w:rPr>
        <w:t> Asistencia a la niñez y apoyo a la familia para posibilitar el ejercicio de los derechos, 320 1501 </w:t>
      </w:r>
      <w:r w:rsidRPr="00193603">
        <w:rPr>
          <w:rFonts w:ascii="Verdana" w:hAnsi="Verdana"/>
        </w:rPr>
        <w:t>138</w:t>
      </w:r>
      <w:r w:rsidRPr="00193603">
        <w:rPr>
          <w:rFonts w:ascii="Verdana" w:hAnsi="Verdana"/>
          <w:i/>
          <w:iCs/>
        </w:rPr>
        <w:t> Protección integral a la niñez y la familia para restituir y garantizar sus derechos y 320 1501 </w:t>
      </w:r>
      <w:r w:rsidRPr="00193603">
        <w:rPr>
          <w:rFonts w:ascii="Verdana" w:hAnsi="Verdana"/>
          <w:b/>
          <w:bCs/>
          <w:i/>
          <w:iCs/>
        </w:rPr>
        <w:t>139</w:t>
      </w:r>
      <w:r w:rsidRPr="00193603">
        <w:rPr>
          <w:rFonts w:ascii="Verdana" w:hAnsi="Verdana"/>
          <w:i/>
          <w:iCs/>
        </w:rPr>
        <w:t> Aplicación de la promoción y fomento para la construcción de una cultura de los derechos de la niñez y la familia, deberá enviarse a la dirección de planeación en el formato establecido para tal fin, acompañado de los soportes y el concepto técnico favorable expedido por la respectiva Dependencia del Nivel Nacional que Gerencia el Proyecto o Subproyecto o Modalidad, en el cual conste la solicitud y la justificación económica.</w:t>
      </w:r>
    </w:p>
    <w:p w14:paraId="6209D1AA" w14:textId="2CF609F8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lastRenderedPageBreak/>
        <w:t xml:space="preserve">La Dirección de Planeación analizará la viabilidad </w:t>
      </w:r>
      <w:proofErr w:type="gramStart"/>
      <w:r w:rsidRPr="00193603">
        <w:rPr>
          <w:rFonts w:ascii="Verdana" w:hAnsi="Verdana"/>
          <w:i/>
          <w:iCs/>
        </w:rPr>
        <w:t>del mismo</w:t>
      </w:r>
      <w:proofErr w:type="gramEnd"/>
      <w:r w:rsidRPr="00193603">
        <w:rPr>
          <w:rFonts w:ascii="Verdana" w:hAnsi="Verdana"/>
          <w:i/>
          <w:iCs/>
        </w:rPr>
        <w:t xml:space="preserve"> y lo remitirá con el Visto Bueno a la Dirección Financiera, para el análisis de la Viabilidad Financiera y posterior Resolución”.</w:t>
      </w:r>
    </w:p>
    <w:p w14:paraId="2DBD6131" w14:textId="4E2A8370" w:rsidR="00193603" w:rsidRPr="00193603" w:rsidRDefault="00193603" w:rsidP="00193603">
      <w:pPr>
        <w:jc w:val="both"/>
        <w:rPr>
          <w:rFonts w:ascii="Verdana" w:hAnsi="Verdana"/>
        </w:rPr>
      </w:pPr>
      <w:bookmarkStart w:id="2" w:name="3"/>
      <w:r w:rsidRPr="00193603">
        <w:rPr>
          <w:rFonts w:ascii="Verdana" w:hAnsi="Verdana"/>
          <w:b/>
          <w:bCs/>
        </w:rPr>
        <w:t>ARTÍCULO 3o.</w:t>
      </w:r>
      <w:bookmarkEnd w:id="2"/>
      <w:r w:rsidRPr="00193603">
        <w:rPr>
          <w:rFonts w:ascii="Verdana" w:hAnsi="Verdana"/>
        </w:rPr>
        <w:t>  Modificar el Artículo 7 de la Resolución 2877 del 31 de diciembre de 2003, el cual quedará así:</w:t>
      </w:r>
    </w:p>
    <w:p w14:paraId="554666FF" w14:textId="568006D0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>ARTÍCULO 7: Los Directores Regionales y Seccionales de Agencia, podrán efectuar traslados presupuestales en los proyectos 310 300</w:t>
      </w:r>
      <w:r w:rsidRPr="00193603">
        <w:rPr>
          <w:rFonts w:ascii="Verdana" w:hAnsi="Verdana"/>
          <w:b/>
          <w:bCs/>
          <w:i/>
          <w:iCs/>
        </w:rPr>
        <w:t> 002</w:t>
      </w:r>
      <w:r w:rsidRPr="00193603">
        <w:rPr>
          <w:rFonts w:ascii="Verdana" w:hAnsi="Verdana"/>
          <w:i/>
          <w:iCs/>
        </w:rPr>
        <w:t xml:space="preserve"> Asistencia para el fortalecimiento del SNB para la prestación del servicio </w:t>
      </w:r>
      <w:proofErr w:type="spellStart"/>
      <w:r w:rsidRPr="00193603">
        <w:rPr>
          <w:rFonts w:ascii="Verdana" w:hAnsi="Verdana"/>
          <w:i/>
          <w:iCs/>
        </w:rPr>
        <w:t>publico</w:t>
      </w:r>
      <w:proofErr w:type="spellEnd"/>
      <w:r w:rsidRPr="00193603">
        <w:rPr>
          <w:rFonts w:ascii="Verdana" w:hAnsi="Verdana"/>
          <w:i/>
          <w:iCs/>
        </w:rPr>
        <w:t xml:space="preserve"> de bienestar familiar, 320 1501 </w:t>
      </w:r>
      <w:r w:rsidRPr="00193603">
        <w:rPr>
          <w:rFonts w:ascii="Verdana" w:hAnsi="Verdana"/>
          <w:b/>
          <w:bCs/>
          <w:i/>
          <w:iCs/>
        </w:rPr>
        <w:t>131</w:t>
      </w:r>
      <w:r w:rsidRPr="00193603">
        <w:rPr>
          <w:rFonts w:ascii="Verdana" w:hAnsi="Verdana"/>
          <w:i/>
          <w:iCs/>
        </w:rPr>
        <w:t> Asistencia a la niñez y apoyo a la familia para posibilitar el ejercicio de los derechos, 320 1501 </w:t>
      </w:r>
      <w:r w:rsidRPr="00193603">
        <w:rPr>
          <w:rFonts w:ascii="Verdana" w:hAnsi="Verdana"/>
          <w:b/>
          <w:bCs/>
          <w:i/>
          <w:iCs/>
        </w:rPr>
        <w:t>138</w:t>
      </w:r>
      <w:r w:rsidRPr="00193603">
        <w:rPr>
          <w:rFonts w:ascii="Verdana" w:hAnsi="Verdana"/>
          <w:i/>
          <w:iCs/>
        </w:rPr>
        <w:t> Protección integral a la niñez y la familia para restituir y garantizar sus derechos y 320 1501 </w:t>
      </w:r>
      <w:r w:rsidRPr="00193603">
        <w:rPr>
          <w:rFonts w:ascii="Verdana" w:hAnsi="Verdana"/>
          <w:b/>
          <w:bCs/>
          <w:i/>
          <w:iCs/>
        </w:rPr>
        <w:t>139</w:t>
      </w:r>
      <w:r w:rsidRPr="00193603">
        <w:rPr>
          <w:rFonts w:ascii="Verdana" w:hAnsi="Verdana"/>
          <w:i/>
          <w:iCs/>
        </w:rPr>
        <w:t> Aplicación de la promoción y fomento para la construcción de una cultura de los derechos de la niñez y la familia, en el nivel presupuestal de Modalidad, Código y Subcódigo dentro del mismo Subproyecto, de acuerdo con la Estructura Presupuestal Interna del Instituto aprobada para el año 2004, en concordancia con las políticas y los lineamientos técnicos y de programación.</w:t>
      </w:r>
    </w:p>
    <w:p w14:paraId="08EA2872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Dichos traslados se </w:t>
      </w:r>
      <w:proofErr w:type="gramStart"/>
      <w:r w:rsidRPr="00193603">
        <w:rPr>
          <w:rFonts w:ascii="Verdana" w:hAnsi="Verdana"/>
          <w:i/>
          <w:iCs/>
        </w:rPr>
        <w:t>efectuaran</w:t>
      </w:r>
      <w:proofErr w:type="gramEnd"/>
      <w:r w:rsidRPr="00193603">
        <w:rPr>
          <w:rFonts w:ascii="Verdana" w:hAnsi="Verdana"/>
          <w:i/>
          <w:iCs/>
        </w:rPr>
        <w:t xml:space="preserve"> mediante Resolución, la cual deberá estar acompañada de los soportes (Solicitud y justificación económica) y del concepto técnico favorable expedido por la respectiva Dependencia del Nivel Nacional que Gerencia el Proyecto o Subproyecto o Modalidad.</w:t>
      </w:r>
    </w:p>
    <w:p w14:paraId="1A1E4ECB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De las Modalidades, Códigos y Subcódigos que componen Los Subproyectos mencionados en este Artículo se podrá trasladar a Gravamen de Movimientos Financieros (GMF) del respectivo Subproyecto mediante Resolución y sin exceder su </w:t>
      </w:r>
      <w:proofErr w:type="spellStart"/>
      <w:r w:rsidRPr="00193603">
        <w:rPr>
          <w:rFonts w:ascii="Verdana" w:hAnsi="Verdana"/>
          <w:i/>
          <w:iCs/>
        </w:rPr>
        <w:t>calculo</w:t>
      </w:r>
      <w:proofErr w:type="spellEnd"/>
      <w:r w:rsidRPr="00193603">
        <w:rPr>
          <w:rFonts w:ascii="Verdana" w:hAnsi="Verdana"/>
          <w:i/>
          <w:iCs/>
        </w:rPr>
        <w:t xml:space="preserve"> correspondiente, con base en la Estructura Presupuestal Interna del Instituto Colombiano de Bienestar Familiar, para el año 2004.</w:t>
      </w:r>
    </w:p>
    <w:p w14:paraId="77C2CEF3" w14:textId="10080ADF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>Estas modificaciones serán reportadas mensualmente al Grupo de Presupuesto de la Dirección Financiera, Junto con el informe de ejecución presupuestal de Ingresos y gastos, de lo cual se enviará copia a la Subdirección de Programación de la Dirección de Planeación con su respectiva justificación y soporte.”</w:t>
      </w:r>
    </w:p>
    <w:p w14:paraId="078A2A61" w14:textId="50013E9F" w:rsidR="00193603" w:rsidRPr="00193603" w:rsidRDefault="00193603" w:rsidP="00193603">
      <w:pPr>
        <w:jc w:val="both"/>
        <w:rPr>
          <w:rFonts w:ascii="Verdana" w:hAnsi="Verdana"/>
        </w:rPr>
      </w:pPr>
      <w:bookmarkStart w:id="3" w:name="4"/>
      <w:r w:rsidRPr="00193603">
        <w:rPr>
          <w:rFonts w:ascii="Verdana" w:hAnsi="Verdana"/>
          <w:b/>
          <w:bCs/>
        </w:rPr>
        <w:t>ARTÍCULO 4o.</w:t>
      </w:r>
      <w:bookmarkEnd w:id="3"/>
      <w:r w:rsidRPr="00193603">
        <w:rPr>
          <w:rFonts w:ascii="Verdana" w:hAnsi="Verdana"/>
        </w:rPr>
        <w:t>  Modificar el Artículo 19 de la Resolución 2877 del 31 de diciembre de 2003, el cual quedará así:</w:t>
      </w:r>
    </w:p>
    <w:p w14:paraId="5A888681" w14:textId="26C5048F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 xml:space="preserve">“ARTÍCULO 19°. Cuando la Regional o Agencia haya concertado con el Municipio u otro Agente del Sistema Nacional de Bienestar Familiar, el ingreso de recursos financieros al presupuesto del ICBF por concepto de Financiación o Cofinanciación con destino a la ejecución de los Proyectos del Servicio Público de Bienestar Familiar, enviará a la Dirección de Planeación: i) Justificación la que tendrá los antecedentes que se han gestado para la concertación y la motivación que sustenta la necesidad institucional, </w:t>
      </w:r>
      <w:proofErr w:type="spellStart"/>
      <w:r w:rsidRPr="00193603">
        <w:rPr>
          <w:rFonts w:ascii="Verdana" w:hAnsi="Verdana"/>
          <w:i/>
          <w:iCs/>
        </w:rPr>
        <w:t>ii</w:t>
      </w:r>
      <w:proofErr w:type="spellEnd"/>
      <w:r w:rsidRPr="00193603">
        <w:rPr>
          <w:rFonts w:ascii="Verdana" w:hAnsi="Verdana"/>
          <w:i/>
          <w:iCs/>
        </w:rPr>
        <w:t xml:space="preserve">) Certificado de Disponibilidad Presupuestal, expedido por el Agente Financiador o </w:t>
      </w:r>
      <w:proofErr w:type="spellStart"/>
      <w:r w:rsidRPr="00193603">
        <w:rPr>
          <w:rFonts w:ascii="Verdana" w:hAnsi="Verdana"/>
          <w:i/>
          <w:iCs/>
        </w:rPr>
        <w:t>Cofinanciador</w:t>
      </w:r>
      <w:proofErr w:type="spellEnd"/>
      <w:r w:rsidRPr="00193603">
        <w:rPr>
          <w:rFonts w:ascii="Verdana" w:hAnsi="Verdana"/>
          <w:i/>
          <w:iCs/>
        </w:rPr>
        <w:t xml:space="preserve">; </w:t>
      </w:r>
      <w:proofErr w:type="spellStart"/>
      <w:r w:rsidRPr="00193603">
        <w:rPr>
          <w:rFonts w:ascii="Verdana" w:hAnsi="Verdana"/>
          <w:i/>
          <w:iCs/>
        </w:rPr>
        <w:t>iii</w:t>
      </w:r>
      <w:proofErr w:type="spellEnd"/>
      <w:r w:rsidRPr="00193603">
        <w:rPr>
          <w:rFonts w:ascii="Verdana" w:hAnsi="Verdana"/>
          <w:i/>
          <w:iCs/>
        </w:rPr>
        <w:t xml:space="preserve">) Minuta del convenio o contrato Interadministrativo, </w:t>
      </w:r>
      <w:proofErr w:type="spellStart"/>
      <w:r w:rsidRPr="00193603">
        <w:rPr>
          <w:rFonts w:ascii="Verdana" w:hAnsi="Verdana"/>
          <w:i/>
          <w:iCs/>
        </w:rPr>
        <w:t>iv</w:t>
      </w:r>
      <w:proofErr w:type="spellEnd"/>
      <w:r w:rsidRPr="00193603">
        <w:rPr>
          <w:rFonts w:ascii="Verdana" w:hAnsi="Verdana"/>
          <w:i/>
          <w:iCs/>
        </w:rPr>
        <w:t xml:space="preserve">) Carta firmada por la entidad con la que se suscribirá el convenio o contrato donde manifieste su intención de </w:t>
      </w:r>
      <w:r w:rsidRPr="00193603">
        <w:rPr>
          <w:rFonts w:ascii="Verdana" w:hAnsi="Verdana"/>
          <w:i/>
          <w:iCs/>
        </w:rPr>
        <w:lastRenderedPageBreak/>
        <w:t xml:space="preserve">participar en la financiación o </w:t>
      </w:r>
      <w:proofErr w:type="spellStart"/>
      <w:r w:rsidRPr="00193603">
        <w:rPr>
          <w:rFonts w:ascii="Verdana" w:hAnsi="Verdana"/>
          <w:i/>
          <w:iCs/>
        </w:rPr>
        <w:t>co</w:t>
      </w:r>
      <w:proofErr w:type="spellEnd"/>
      <w:r w:rsidRPr="00193603">
        <w:rPr>
          <w:rFonts w:ascii="Verdana" w:hAnsi="Verdana"/>
          <w:i/>
          <w:iCs/>
        </w:rPr>
        <w:t xml:space="preserve"> financiación de los proyectos de prestación del SPBF con el ICBF. </w:t>
      </w:r>
      <w:proofErr w:type="gramStart"/>
      <w:r w:rsidRPr="00193603">
        <w:rPr>
          <w:rFonts w:ascii="Verdana" w:hAnsi="Verdana"/>
          <w:i/>
          <w:iCs/>
        </w:rPr>
        <w:t>Además</w:t>
      </w:r>
      <w:proofErr w:type="gramEnd"/>
      <w:r w:rsidRPr="00193603">
        <w:rPr>
          <w:rFonts w:ascii="Verdana" w:hAnsi="Verdana"/>
          <w:i/>
          <w:iCs/>
        </w:rPr>
        <w:t xml:space="preserve"> se deberá especificar, por cada uno, el monto de los recursos por I) Recursos municipales obligatorios de la ley 715/2001; </w:t>
      </w:r>
      <w:proofErr w:type="spellStart"/>
      <w:r w:rsidRPr="00193603">
        <w:rPr>
          <w:rFonts w:ascii="Verdana" w:hAnsi="Verdana"/>
          <w:i/>
          <w:iCs/>
        </w:rPr>
        <w:t>ii</w:t>
      </w:r>
      <w:proofErr w:type="spellEnd"/>
      <w:r w:rsidRPr="00193603">
        <w:rPr>
          <w:rFonts w:ascii="Verdana" w:hAnsi="Verdana"/>
          <w:i/>
          <w:iCs/>
        </w:rPr>
        <w:t xml:space="preserve">) Recursos municipales y departamentales adicionales y </w:t>
      </w:r>
      <w:proofErr w:type="spellStart"/>
      <w:r w:rsidRPr="00193603">
        <w:rPr>
          <w:rFonts w:ascii="Verdana" w:hAnsi="Verdana"/>
          <w:i/>
          <w:iCs/>
        </w:rPr>
        <w:t>iii</w:t>
      </w:r>
      <w:proofErr w:type="spellEnd"/>
      <w:r w:rsidRPr="00193603">
        <w:rPr>
          <w:rFonts w:ascii="Verdana" w:hAnsi="Verdana"/>
          <w:i/>
          <w:iCs/>
        </w:rPr>
        <w:t>) Recursos de empresa privada y otros actores.</w:t>
      </w:r>
    </w:p>
    <w:p w14:paraId="429CF6B4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b/>
          <w:bCs/>
          <w:i/>
          <w:iCs/>
        </w:rPr>
        <w:t>PARÁGRAFO 1o.</w:t>
      </w:r>
      <w:r w:rsidRPr="00193603">
        <w:rPr>
          <w:rFonts w:ascii="Verdana" w:hAnsi="Verdana"/>
          <w:i/>
          <w:iCs/>
        </w:rPr>
        <w:t xml:space="preserve"> Para la presente vigencia, la participación de los Agentes del SNBF destinada a la prestación del Servicio Público de Bienestar Familiar, debe estar orientada por los lineamientos de política y de Atención a la Niñez y la Familia, emitidos por la Dirección Técnica y acorde con la Estructura Programática y Presupuestal de Inversión vigente para el ICBF. En el caso de presentarse una nueva modalidad, ésta debe </w:t>
      </w:r>
      <w:proofErr w:type="gramStart"/>
      <w:r w:rsidRPr="00193603">
        <w:rPr>
          <w:rFonts w:ascii="Verdana" w:hAnsi="Verdana"/>
          <w:i/>
          <w:iCs/>
        </w:rPr>
        <w:t>enmarcarse dentro de</w:t>
      </w:r>
      <w:proofErr w:type="gramEnd"/>
      <w:r w:rsidRPr="00193603">
        <w:rPr>
          <w:rFonts w:ascii="Verdana" w:hAnsi="Verdana"/>
          <w:i/>
          <w:iCs/>
        </w:rPr>
        <w:t xml:space="preserve"> los parámetros fijados para el pro</w:t>
      </w:r>
      <w:r w:rsidRPr="00193603">
        <w:rPr>
          <w:rFonts w:ascii="Verdana" w:hAnsi="Verdana"/>
        </w:rPr>
        <w:t>ceso </w:t>
      </w:r>
      <w:r w:rsidRPr="00193603">
        <w:rPr>
          <w:rFonts w:ascii="Verdana" w:hAnsi="Verdana"/>
          <w:i/>
          <w:iCs/>
        </w:rPr>
        <w:t>de programación y remitirse a la Dirección Técnica para su concepto.</w:t>
      </w:r>
    </w:p>
    <w:p w14:paraId="1AB12A30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b/>
          <w:bCs/>
          <w:i/>
          <w:iCs/>
        </w:rPr>
        <w:t>PARÁGRAFO 2o.</w:t>
      </w:r>
      <w:r w:rsidRPr="00193603">
        <w:rPr>
          <w:rFonts w:ascii="Verdana" w:hAnsi="Verdana"/>
          <w:i/>
          <w:iCs/>
        </w:rPr>
        <w:t> La Dirección de Planeación informará a la Dirección Financiera, las Regionales y Agencias, montos y Modalidades en donde se efectuará la adición presupuestal, mediante Resolución, exclusivamente sobre los recursos que se compromete a entregar el Agente del SNBF, cuando estos estén destinados a los Proyectos de Asistencia a la Niñez y apoyo a la Familia para posibilitar a los Niños el ejercicio de sus derechos y la Protección Integral a la Niñez y la Familia, para restituir y garantizar sus derechos.</w:t>
      </w:r>
    </w:p>
    <w:p w14:paraId="0076E17B" w14:textId="06599103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PARÁGRAFO 3o.</w:t>
      </w:r>
      <w:r w:rsidRPr="00193603">
        <w:rPr>
          <w:rFonts w:ascii="Verdana" w:hAnsi="Verdana"/>
          <w:i/>
          <w:iCs/>
        </w:rPr>
        <w:t> La Regional o Agencia no puede comprometer en los acuerdos con los Agentes del SNBF, recursos adicionales a los asignados en la apropiación inicial de la vigencia, salvo aquellos que tengan concepto previo de la Dirección de Planeación y la Dirección Técnica”.</w:t>
      </w:r>
    </w:p>
    <w:p w14:paraId="6BB4D6B1" w14:textId="69684FA5" w:rsidR="00193603" w:rsidRPr="00193603" w:rsidRDefault="00193603" w:rsidP="00193603">
      <w:pPr>
        <w:jc w:val="both"/>
        <w:rPr>
          <w:rFonts w:ascii="Verdana" w:hAnsi="Verdana"/>
        </w:rPr>
      </w:pPr>
      <w:bookmarkStart w:id="4" w:name="5"/>
      <w:r w:rsidRPr="00193603">
        <w:rPr>
          <w:rFonts w:ascii="Verdana" w:hAnsi="Verdana"/>
          <w:b/>
          <w:bCs/>
        </w:rPr>
        <w:t>ARTÍCULO 5o.</w:t>
      </w:r>
      <w:bookmarkEnd w:id="4"/>
      <w:r w:rsidRPr="00193603">
        <w:rPr>
          <w:rFonts w:ascii="Verdana" w:hAnsi="Verdana"/>
        </w:rPr>
        <w:t xml:space="preserve"> Modificar el Parágrafo 4 del Artículo 37 de la Resolución 2877 del 31 de diciembre de 2003, el cual quedará así:</w:t>
      </w:r>
    </w:p>
    <w:p w14:paraId="0F1B570A" w14:textId="4FAB7E5A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>“PARÁGRAFO 4o. Las Cajas de Compensación Familiar que estén ubicadas en Municipios diferentes a la Capital del Departamento, consignarán en la Cuenta Recaudadora Regional. El Servidor Público que desempeñe las funciones de pagador en las Regionales o Agencias, consignará en la Cuenta de Ahorros Nacional determinada por la Dirección Financiera a más tardar el día siguiente a la liberación del canje, previa confirmación del Banco”.</w:t>
      </w:r>
    </w:p>
    <w:p w14:paraId="26E6C472" w14:textId="5ACC4462" w:rsidR="00193603" w:rsidRPr="00193603" w:rsidRDefault="00193603" w:rsidP="00193603">
      <w:pPr>
        <w:jc w:val="both"/>
        <w:rPr>
          <w:rFonts w:ascii="Verdana" w:hAnsi="Verdana"/>
        </w:rPr>
      </w:pPr>
      <w:bookmarkStart w:id="5" w:name="6"/>
      <w:r w:rsidRPr="00193603">
        <w:rPr>
          <w:rFonts w:ascii="Verdana" w:hAnsi="Verdana"/>
          <w:b/>
          <w:bCs/>
        </w:rPr>
        <w:t>ARTÍCULO 6o.</w:t>
      </w:r>
      <w:bookmarkEnd w:id="5"/>
      <w:r w:rsidRPr="00193603">
        <w:rPr>
          <w:rFonts w:ascii="Verdana" w:hAnsi="Verdana"/>
        </w:rPr>
        <w:t>  Modificar el Artículo 50 Parágrafo 1° de la Resolución 2877 del 31 de diciembre de 2003, el cual quedará así:</w:t>
      </w:r>
    </w:p>
    <w:p w14:paraId="7E0B0A86" w14:textId="60E930F0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b/>
          <w:bCs/>
          <w:i/>
          <w:iCs/>
        </w:rPr>
        <w:t>“ARTÍCULO </w:t>
      </w:r>
      <w:r w:rsidRPr="00193603">
        <w:rPr>
          <w:rFonts w:ascii="Verdana" w:hAnsi="Verdana"/>
          <w:i/>
          <w:iCs/>
        </w:rPr>
        <w:t>50</w:t>
      </w:r>
      <w:r w:rsidRPr="00193603">
        <w:rPr>
          <w:rFonts w:ascii="Verdana" w:hAnsi="Verdana"/>
          <w:b/>
          <w:bCs/>
          <w:i/>
          <w:iCs/>
        </w:rPr>
        <w:t>.- (...) PARÁGRAFO 1</w:t>
      </w:r>
      <w:r w:rsidRPr="00193603">
        <w:rPr>
          <w:rFonts w:ascii="Verdana" w:hAnsi="Verdana"/>
          <w:i/>
          <w:iCs/>
        </w:rPr>
        <w:t xml:space="preserve">: Efectuarán arqueos a las Cajas Menores y a la Caja Principal constituidas en las Regionales, Agencias y Sede Nacional, los Servidores Públicos que desempeñen las funciones de Contador y en casos de ausencia de éste o dependiendo del número de cajas menores los podrá realizar el Coordinador Administrativo y/o Financiero o quien el </w:t>
      </w:r>
      <w:proofErr w:type="gramStart"/>
      <w:r w:rsidRPr="00193603">
        <w:rPr>
          <w:rFonts w:ascii="Verdana" w:hAnsi="Verdana"/>
          <w:i/>
          <w:iCs/>
        </w:rPr>
        <w:t>Director Regional</w:t>
      </w:r>
      <w:proofErr w:type="gramEnd"/>
      <w:r w:rsidRPr="00193603">
        <w:rPr>
          <w:rFonts w:ascii="Verdana" w:hAnsi="Verdana"/>
          <w:i/>
          <w:iCs/>
        </w:rPr>
        <w:t xml:space="preserve"> o Seccional de Agencia delegue mediante Resolución.</w:t>
      </w:r>
    </w:p>
    <w:p w14:paraId="089FB0F7" w14:textId="77777777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lastRenderedPageBreak/>
        <w:t>Los arqueos se realizarán al menos una vez por trimestre e informarán oportunamente las inconsistencias detectadas en el manejo de dichas Cajas, si las hubiere para tomar las medidas respectivas a la Oficina de Control Interno de la Sede Nacional.</w:t>
      </w:r>
    </w:p>
    <w:p w14:paraId="5A2350F5" w14:textId="380A64D1" w:rsidR="00193603" w:rsidRPr="00193603" w:rsidRDefault="00193603" w:rsidP="00193603">
      <w:pPr>
        <w:jc w:val="both"/>
        <w:rPr>
          <w:rFonts w:ascii="Verdana" w:hAnsi="Verdana"/>
        </w:rPr>
      </w:pPr>
      <w:r w:rsidRPr="00193603">
        <w:rPr>
          <w:rFonts w:ascii="Verdana" w:hAnsi="Verdana"/>
          <w:i/>
          <w:iCs/>
        </w:rPr>
        <w:t>Copia de los arqueos trimestrales de cada una de las Cajas Menores debe ser enviada al Grupo de Tesorería de la Sede Nacional y a la Oficina de Control Interno de la Sede Nacional”.</w:t>
      </w:r>
    </w:p>
    <w:p w14:paraId="5EF0D4CB" w14:textId="3BD43AFD" w:rsidR="00193603" w:rsidRPr="00193603" w:rsidRDefault="00193603" w:rsidP="00193603">
      <w:pPr>
        <w:jc w:val="both"/>
        <w:rPr>
          <w:rFonts w:ascii="Verdana" w:hAnsi="Verdana"/>
        </w:rPr>
      </w:pPr>
      <w:bookmarkStart w:id="6" w:name="7"/>
      <w:r w:rsidRPr="00193603">
        <w:rPr>
          <w:rFonts w:ascii="Verdana" w:hAnsi="Verdana"/>
          <w:b/>
          <w:bCs/>
        </w:rPr>
        <w:t>ARTÍCULO 7o.</w:t>
      </w:r>
      <w:bookmarkEnd w:id="6"/>
      <w:r w:rsidRPr="00193603">
        <w:rPr>
          <w:rFonts w:ascii="Verdana" w:hAnsi="Verdana"/>
        </w:rPr>
        <w:t>  Los demás aspectos de la Resol 2877 de 31 de</w:t>
      </w:r>
      <w:r w:rsidR="008D409F">
        <w:rPr>
          <w:rFonts w:ascii="Verdana" w:hAnsi="Verdana"/>
        </w:rPr>
        <w:t xml:space="preserve"> </w:t>
      </w:r>
      <w:r w:rsidRPr="00193603">
        <w:rPr>
          <w:rFonts w:ascii="Verdana" w:hAnsi="Verdana"/>
        </w:rPr>
        <w:t>diciembre de 2003, no tienen modificación alguna.</w:t>
      </w:r>
    </w:p>
    <w:p w14:paraId="58206A67" w14:textId="2CDB54E2" w:rsidR="00193603" w:rsidRPr="00193603" w:rsidRDefault="00193603" w:rsidP="00193603">
      <w:pPr>
        <w:jc w:val="both"/>
        <w:rPr>
          <w:rFonts w:ascii="Verdana" w:hAnsi="Verdana"/>
        </w:rPr>
      </w:pPr>
      <w:bookmarkStart w:id="7" w:name="8"/>
      <w:r w:rsidRPr="00193603">
        <w:rPr>
          <w:rFonts w:ascii="Verdana" w:hAnsi="Verdana"/>
          <w:b/>
          <w:bCs/>
        </w:rPr>
        <w:t>ARTÍCULO 8o.</w:t>
      </w:r>
      <w:bookmarkEnd w:id="7"/>
      <w:r w:rsidRPr="00193603">
        <w:rPr>
          <w:rFonts w:ascii="Verdana" w:hAnsi="Verdana"/>
        </w:rPr>
        <w:t> </w:t>
      </w:r>
      <w:r w:rsidR="008D409F">
        <w:rPr>
          <w:rFonts w:ascii="Verdana" w:hAnsi="Verdana"/>
        </w:rPr>
        <w:t>[</w:t>
      </w:r>
      <w:r w:rsidRPr="00193603">
        <w:rPr>
          <w:rFonts w:ascii="Verdana" w:hAnsi="Verdana"/>
        </w:rPr>
        <w:t>Resolución derogada por el artículo 98 de la Resolución 1615 de 2006</w:t>
      </w:r>
      <w:r w:rsidR="008D409F">
        <w:rPr>
          <w:rFonts w:ascii="Verdana" w:hAnsi="Verdana"/>
        </w:rPr>
        <w:t>]</w:t>
      </w:r>
      <w:r w:rsidRPr="00193603">
        <w:rPr>
          <w:rFonts w:ascii="Verdana" w:hAnsi="Verdana"/>
        </w:rPr>
        <w:t xml:space="preserve"> La presente Resolución rige a partir de la fecha de su expedición.</w:t>
      </w:r>
    </w:p>
    <w:p w14:paraId="6E9ED884" w14:textId="77777777" w:rsidR="00193603" w:rsidRPr="008D409F" w:rsidRDefault="00193603" w:rsidP="00193603">
      <w:pPr>
        <w:jc w:val="center"/>
        <w:rPr>
          <w:rFonts w:ascii="Verdana" w:hAnsi="Verdana"/>
          <w:b/>
          <w:bCs/>
        </w:rPr>
      </w:pPr>
      <w:r w:rsidRPr="008D409F">
        <w:rPr>
          <w:rFonts w:ascii="Verdana" w:hAnsi="Verdana"/>
          <w:b/>
          <w:bCs/>
        </w:rPr>
        <w:t>COMUNÍQUESE Y CÚMPLASE</w:t>
      </w:r>
    </w:p>
    <w:p w14:paraId="5EE53DC2" w14:textId="4ED0E3BA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</w:rPr>
        <w:t xml:space="preserve">Dada en Bogotá D.C., </w:t>
      </w:r>
      <w:proofErr w:type="gramStart"/>
      <w:r w:rsidRPr="00193603">
        <w:rPr>
          <w:rFonts w:ascii="Verdana" w:hAnsi="Verdana"/>
        </w:rPr>
        <w:t xml:space="preserve">a los 16 </w:t>
      </w:r>
      <w:r>
        <w:rPr>
          <w:rFonts w:ascii="Verdana" w:hAnsi="Verdana"/>
        </w:rPr>
        <w:t>de junio de 2004</w:t>
      </w:r>
      <w:proofErr w:type="gramEnd"/>
      <w:r>
        <w:rPr>
          <w:rFonts w:ascii="Verdana" w:hAnsi="Verdana"/>
        </w:rPr>
        <w:t xml:space="preserve">. </w:t>
      </w:r>
    </w:p>
    <w:p w14:paraId="1B7F146B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  <w:b/>
          <w:bCs/>
        </w:rPr>
        <w:t>BEATRÍZ LONDOÑO SOTO</w:t>
      </w:r>
    </w:p>
    <w:p w14:paraId="753F17A6" w14:textId="77777777" w:rsidR="00193603" w:rsidRPr="00193603" w:rsidRDefault="00193603" w:rsidP="00193603">
      <w:pPr>
        <w:jc w:val="center"/>
        <w:rPr>
          <w:rFonts w:ascii="Verdana" w:hAnsi="Verdana"/>
        </w:rPr>
      </w:pPr>
      <w:r w:rsidRPr="00193603">
        <w:rPr>
          <w:rFonts w:ascii="Verdana" w:hAnsi="Verdana"/>
        </w:rPr>
        <w:t>Directora General</w:t>
      </w:r>
    </w:p>
    <w:p w14:paraId="52E3D054" w14:textId="77777777" w:rsidR="00BF0030" w:rsidRPr="00193603" w:rsidRDefault="00BF0030" w:rsidP="00193603">
      <w:pPr>
        <w:jc w:val="center"/>
        <w:rPr>
          <w:rFonts w:ascii="Verdana" w:hAnsi="Verdana"/>
        </w:rPr>
      </w:pPr>
    </w:p>
    <w:sectPr w:rsidR="00BF0030" w:rsidRPr="00193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54"/>
    <w:rsid w:val="00193603"/>
    <w:rsid w:val="002D142B"/>
    <w:rsid w:val="008C6BBF"/>
    <w:rsid w:val="008D409F"/>
    <w:rsid w:val="00950392"/>
    <w:rsid w:val="00BC3254"/>
    <w:rsid w:val="00BF0030"/>
    <w:rsid w:val="00D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754C"/>
  <w15:chartTrackingRefBased/>
  <w15:docId w15:val="{792912FF-D73B-4F8F-BDA5-7E235FAC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360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936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60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D4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69B16-38BA-43B2-8664-8ECB8DB53243}"/>
</file>

<file path=customXml/itemProps2.xml><?xml version="1.0" encoding="utf-8"?>
<ds:datastoreItem xmlns:ds="http://schemas.openxmlformats.org/officeDocument/2006/customXml" ds:itemID="{A4EBFEC3-1C86-4ABF-9C16-3B71DF927638}"/>
</file>

<file path=customXml/itemProps3.xml><?xml version="1.0" encoding="utf-8"?>
<ds:datastoreItem xmlns:ds="http://schemas.openxmlformats.org/officeDocument/2006/customXml" ds:itemID="{4823C148-D92E-4610-99B3-078E5720D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1752</Words>
  <Characters>9341</Characters>
  <Application>Microsoft Office Word</Application>
  <DocSecurity>0</DocSecurity>
  <Lines>172</Lines>
  <Paragraphs>61</Paragraphs>
  <ScaleCrop>false</ScaleCrop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2025-11-29T15:01:00Z</dcterms:created>
  <dcterms:modified xsi:type="dcterms:W3CDTF">2026-01-21T16:36:00Z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