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61B3" w14:textId="77777777" w:rsidR="00E92890" w:rsidRPr="00E92890" w:rsidRDefault="00E92890" w:rsidP="00E92890">
      <w:pPr>
        <w:jc w:val="center"/>
        <w:rPr>
          <w:rFonts w:ascii="Verdana" w:hAnsi="Verdana"/>
        </w:rPr>
      </w:pPr>
      <w:r w:rsidRPr="00E92890">
        <w:rPr>
          <w:rFonts w:ascii="Verdana" w:hAnsi="Verdana"/>
          <w:b/>
          <w:bCs/>
        </w:rPr>
        <w:t>RESOLUCIÓN 1002 DE 2011</w:t>
      </w:r>
    </w:p>
    <w:p w14:paraId="22E1A3E3" w14:textId="43F9109D" w:rsidR="00E92890" w:rsidRPr="00A85783" w:rsidRDefault="00E92890" w:rsidP="00E9289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92890">
        <w:rPr>
          <w:rFonts w:ascii="Verdana" w:hAnsi="Verdana"/>
          <w:sz w:val="20"/>
          <w:szCs w:val="20"/>
        </w:rPr>
        <w:t xml:space="preserve">23 de marzo </w:t>
      </w:r>
      <w:r w:rsidRPr="00A85783">
        <w:rPr>
          <w:rFonts w:ascii="Verdana" w:hAnsi="Verdana"/>
          <w:sz w:val="20"/>
          <w:szCs w:val="20"/>
        </w:rPr>
        <w:t xml:space="preserve">de </w:t>
      </w:r>
      <w:r>
        <w:rPr>
          <w:rFonts w:ascii="Verdana" w:hAnsi="Verdana"/>
          <w:sz w:val="20"/>
          <w:szCs w:val="20"/>
        </w:rPr>
        <w:t>2011</w:t>
      </w:r>
    </w:p>
    <w:p w14:paraId="4559117C" w14:textId="5688E3CD" w:rsidR="00E92890" w:rsidRPr="00A85783" w:rsidRDefault="00E92890" w:rsidP="00E9289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Pr>
          <w:rFonts w:ascii="Verdana" w:hAnsi="Verdana"/>
          <w:sz w:val="20"/>
          <w:szCs w:val="20"/>
        </w:rPr>
        <w:t xml:space="preserve"> </w:t>
      </w:r>
      <w:r w:rsidRPr="00E92890">
        <w:rPr>
          <w:rFonts w:ascii="Verdana" w:hAnsi="Verdana"/>
          <w:sz w:val="20"/>
          <w:szCs w:val="20"/>
        </w:rPr>
        <w:t>23 de marzo</w:t>
      </w:r>
      <w:r w:rsidRPr="00A85783">
        <w:rPr>
          <w:rFonts w:ascii="Verdana" w:hAnsi="Verdana"/>
          <w:sz w:val="20"/>
          <w:szCs w:val="20"/>
        </w:rPr>
        <w:t xml:space="preserve"> de </w:t>
      </w:r>
      <w:r>
        <w:rPr>
          <w:rFonts w:ascii="Verdana" w:hAnsi="Verdana"/>
          <w:sz w:val="20"/>
          <w:szCs w:val="20"/>
        </w:rPr>
        <w:t>2011</w:t>
      </w:r>
    </w:p>
    <w:p w14:paraId="0500899B" w14:textId="5184C73E" w:rsidR="00E92890" w:rsidRPr="00A85783" w:rsidRDefault="00E92890" w:rsidP="00E92890">
      <w:pPr>
        <w:pStyle w:val="Sinespaciado"/>
        <w:rPr>
          <w:rFonts w:ascii="Verdana" w:hAnsi="Verdana"/>
          <w:sz w:val="20"/>
          <w:szCs w:val="20"/>
        </w:rPr>
      </w:pPr>
      <w:r w:rsidRPr="00A85783">
        <w:rPr>
          <w:rFonts w:ascii="Verdana" w:hAnsi="Verdana"/>
          <w:sz w:val="20"/>
          <w:szCs w:val="20"/>
        </w:rPr>
        <w:t xml:space="preserve">Estado de la vigencia: </w:t>
      </w:r>
      <w:r w:rsidRPr="00E92890">
        <w:rPr>
          <w:rFonts w:ascii="Verdana" w:hAnsi="Verdana"/>
          <w:sz w:val="20"/>
          <w:szCs w:val="20"/>
        </w:rPr>
        <w:t>Resolución 530 de 2011, que con la presente se adiciona, derogada por el artículo 3 de la Resolución 1111 de 2012</w:t>
      </w:r>
    </w:p>
    <w:p w14:paraId="00ABC4B2" w14:textId="77777777" w:rsidR="00E92890" w:rsidRDefault="00E92890" w:rsidP="00E92890">
      <w:pPr>
        <w:pStyle w:val="Sinespaciado"/>
        <w:rPr>
          <w:rFonts w:ascii="Verdana" w:hAnsi="Verdana"/>
          <w:sz w:val="20"/>
          <w:szCs w:val="20"/>
        </w:rPr>
      </w:pPr>
    </w:p>
    <w:p w14:paraId="58A59BC8" w14:textId="77777777" w:rsidR="00E92890" w:rsidRPr="00A85783" w:rsidRDefault="00E92890" w:rsidP="00E92890">
      <w:pPr>
        <w:pStyle w:val="Sinespaciado"/>
        <w:rPr>
          <w:rFonts w:ascii="Verdana" w:hAnsi="Verdana"/>
          <w:sz w:val="20"/>
          <w:szCs w:val="20"/>
        </w:rPr>
      </w:pPr>
      <w:r w:rsidRPr="00A85783">
        <w:rPr>
          <w:rFonts w:ascii="Verdana" w:hAnsi="Verdana"/>
          <w:sz w:val="20"/>
          <w:szCs w:val="20"/>
        </w:rPr>
        <w:t>Fecha de publicación en Diario Oficial: N/A</w:t>
      </w:r>
    </w:p>
    <w:p w14:paraId="64562D8F" w14:textId="77777777" w:rsidR="00E92890" w:rsidRDefault="00E92890" w:rsidP="00E92890">
      <w:pPr>
        <w:pStyle w:val="Sinespaciado"/>
        <w:rPr>
          <w:rFonts w:ascii="Verdana" w:hAnsi="Verdana"/>
          <w:sz w:val="20"/>
          <w:szCs w:val="20"/>
        </w:rPr>
      </w:pPr>
      <w:r w:rsidRPr="00A85783">
        <w:rPr>
          <w:rFonts w:ascii="Verdana" w:hAnsi="Verdana"/>
          <w:sz w:val="20"/>
          <w:szCs w:val="20"/>
        </w:rPr>
        <w:t>Número del Diario Oficial: N/A</w:t>
      </w:r>
    </w:p>
    <w:p w14:paraId="7ADF11C0" w14:textId="77777777" w:rsidR="00BE1DF1" w:rsidRDefault="00BE1DF1" w:rsidP="00E92890">
      <w:pPr>
        <w:pStyle w:val="Sinespaciado"/>
        <w:rPr>
          <w:rFonts w:ascii="Verdana" w:hAnsi="Verdana"/>
          <w:sz w:val="20"/>
          <w:szCs w:val="20"/>
        </w:rPr>
      </w:pPr>
    </w:p>
    <w:bookmarkEnd w:id="0"/>
    <w:p w14:paraId="34CB85C7" w14:textId="77777777" w:rsidR="00E92890" w:rsidRPr="00E92890" w:rsidRDefault="00E92890" w:rsidP="00E92890">
      <w:pPr>
        <w:jc w:val="center"/>
        <w:rPr>
          <w:rFonts w:ascii="Verdana" w:hAnsi="Verdana"/>
        </w:rPr>
      </w:pPr>
      <w:r w:rsidRPr="00E92890">
        <w:rPr>
          <w:rFonts w:ascii="Verdana" w:hAnsi="Verdana"/>
          <w:b/>
          <w:bCs/>
        </w:rPr>
        <w:t>RESOLUCIÓN 1002 DE 2011</w:t>
      </w:r>
    </w:p>
    <w:p w14:paraId="7ED7F1AA" w14:textId="666CD6F7" w:rsidR="00E92890" w:rsidRPr="00E92890" w:rsidRDefault="00E92890" w:rsidP="00E92890">
      <w:pPr>
        <w:jc w:val="center"/>
        <w:rPr>
          <w:rFonts w:ascii="Verdana" w:hAnsi="Verdana"/>
        </w:rPr>
      </w:pPr>
      <w:r w:rsidRPr="00E92890">
        <w:rPr>
          <w:rFonts w:ascii="Verdana" w:hAnsi="Verdana"/>
        </w:rPr>
        <w:t>(</w:t>
      </w:r>
      <w:r>
        <w:rPr>
          <w:rFonts w:ascii="Verdana" w:hAnsi="Verdana"/>
        </w:rPr>
        <w:t>23 de marzo</w:t>
      </w:r>
      <w:r w:rsidRPr="00E92890">
        <w:rPr>
          <w:rFonts w:ascii="Verdana" w:hAnsi="Verdana"/>
        </w:rPr>
        <w:t>)</w:t>
      </w:r>
    </w:p>
    <w:p w14:paraId="7C49F3AB" w14:textId="77777777" w:rsidR="00E92890" w:rsidRPr="00E92890" w:rsidRDefault="00E92890" w:rsidP="00E92890">
      <w:pPr>
        <w:jc w:val="center"/>
        <w:rPr>
          <w:rFonts w:ascii="Verdana" w:hAnsi="Verdana"/>
        </w:rPr>
      </w:pPr>
      <w:r w:rsidRPr="00E92890">
        <w:rPr>
          <w:rFonts w:ascii="Verdana" w:hAnsi="Verdana"/>
          <w:b/>
          <w:bCs/>
        </w:rPr>
        <w:t>INSTITUTO COLOMBIANO DE BIENESTAR FAMILIAR - ICBF</w:t>
      </w:r>
    </w:p>
    <w:p w14:paraId="3638A48E" w14:textId="77777777" w:rsidR="00E92890" w:rsidRPr="00E92890" w:rsidRDefault="00E92890" w:rsidP="00E92890">
      <w:pPr>
        <w:jc w:val="center"/>
        <w:rPr>
          <w:rFonts w:ascii="Verdana" w:hAnsi="Verdana"/>
        </w:rPr>
      </w:pPr>
      <w:r w:rsidRPr="00E92890">
        <w:rPr>
          <w:rFonts w:ascii="Verdana" w:hAnsi="Verdana"/>
        </w:rPr>
        <w:t>Por la cual se adicionan unos inmuebles al Plan de Enajenación Onerosa del ICBF.</w:t>
      </w:r>
    </w:p>
    <w:p w14:paraId="360DA970" w14:textId="77777777" w:rsidR="00E92890" w:rsidRPr="00E92890" w:rsidRDefault="00E92890" w:rsidP="00E92890">
      <w:pPr>
        <w:jc w:val="center"/>
        <w:rPr>
          <w:rFonts w:ascii="Verdana" w:hAnsi="Verdana"/>
        </w:rPr>
      </w:pPr>
      <w:r w:rsidRPr="00E92890">
        <w:rPr>
          <w:rFonts w:ascii="Verdana" w:hAnsi="Verdana"/>
          <w:b/>
          <w:bCs/>
        </w:rPr>
        <w:t>LA DIRECTORA GENERAL DEL INSTITUTO COLOMBIANO DE BIENESTAR FAMILIAR - CECILIA DE LA FUENTE DE LLERAS</w:t>
      </w:r>
    </w:p>
    <w:p w14:paraId="4529FCF6" w14:textId="7B787833" w:rsidR="00E92890" w:rsidRPr="00E92890" w:rsidRDefault="00E92890" w:rsidP="00E92890">
      <w:pPr>
        <w:jc w:val="center"/>
        <w:rPr>
          <w:rFonts w:ascii="Verdana" w:hAnsi="Verdana"/>
        </w:rPr>
      </w:pPr>
      <w:r w:rsidRPr="00E92890">
        <w:rPr>
          <w:rFonts w:ascii="Verdana" w:hAnsi="Verdana"/>
        </w:rPr>
        <w:t>En uso de sus facultades legales y estatutarias, y en especial las conferidas por los artículos 62 y 66 de la Ley 75 de 1968, 39 de la Ley 7a de 1979, y 8o de la Ley 708 de 2001, y los Decretos 4637 de 2008 y 3297 de 2009, y</w:t>
      </w:r>
    </w:p>
    <w:p w14:paraId="76DA49F2" w14:textId="77777777" w:rsidR="00E92890" w:rsidRPr="00E92890" w:rsidRDefault="00E92890" w:rsidP="00E92890">
      <w:pPr>
        <w:jc w:val="center"/>
        <w:rPr>
          <w:rFonts w:ascii="Verdana" w:hAnsi="Verdana"/>
        </w:rPr>
      </w:pPr>
      <w:r w:rsidRPr="00E92890">
        <w:rPr>
          <w:rFonts w:ascii="Verdana" w:hAnsi="Verdana"/>
          <w:b/>
          <w:bCs/>
        </w:rPr>
        <w:t>CONSIDERANDO:</w:t>
      </w:r>
    </w:p>
    <w:p w14:paraId="2F53CE4A" w14:textId="1E7E7C54" w:rsidR="00E92890" w:rsidRPr="00E92890" w:rsidRDefault="00E92890" w:rsidP="00E92890">
      <w:pPr>
        <w:jc w:val="both"/>
        <w:rPr>
          <w:rFonts w:ascii="Verdana" w:hAnsi="Verdana"/>
        </w:rPr>
      </w:pPr>
      <w:r w:rsidRPr="00E92890">
        <w:rPr>
          <w:rFonts w:ascii="Verdana" w:hAnsi="Verdana"/>
        </w:rPr>
        <w:t xml:space="preserve">Que los artículos 62 y 66 de la Ley 75 de 1968 y 39 de la Ley 7a de 1979, determinan que el ICBF es el heredero del quinto orden </w:t>
      </w:r>
      <w:proofErr w:type="spellStart"/>
      <w:r w:rsidRPr="00E92890">
        <w:rPr>
          <w:rFonts w:ascii="Verdana" w:hAnsi="Verdana"/>
        </w:rPr>
        <w:t>sucesoral</w:t>
      </w:r>
      <w:proofErr w:type="spellEnd"/>
      <w:r w:rsidRPr="00E92890">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sus rentas el producido de las respectivas ventas.</w:t>
      </w:r>
    </w:p>
    <w:p w14:paraId="3D1DACA6" w14:textId="4E94920E" w:rsidR="00E92890" w:rsidRPr="00E92890" w:rsidRDefault="00E92890" w:rsidP="00E92890">
      <w:pPr>
        <w:jc w:val="both"/>
        <w:rPr>
          <w:rFonts w:ascii="Verdana" w:hAnsi="Verdana"/>
        </w:rPr>
      </w:pPr>
      <w:r w:rsidRPr="00E92890">
        <w:rPr>
          <w:rFonts w:ascii="Verdana" w:hAnsi="Verdana"/>
        </w:rPr>
        <w:t>Que el artículo 33</w:t>
      </w:r>
      <w:r w:rsidRPr="00E92890">
        <w:rPr>
          <w:rFonts w:ascii="Verdana" w:hAnsi="Verdana"/>
          <w:vertAlign w:val="subscript"/>
        </w:rPr>
        <w:t>[1]</w:t>
      </w:r>
      <w:r w:rsidRPr="00E92890">
        <w:rPr>
          <w:rFonts w:ascii="Verdana" w:hAnsi="Verdana"/>
        </w:rPr>
        <w:t> de la Ley 9a de 1989 dispuso que las Entidades Públicas que hayan adquirido bienes a cualquier título, deberán aplicarlos a los fines para los cuales fueron adquiridos o en su defecto enajenarlos.</w:t>
      </w:r>
    </w:p>
    <w:p w14:paraId="367525E3" w14:textId="77777777" w:rsidR="00E92890" w:rsidRPr="00E92890" w:rsidRDefault="00E92890" w:rsidP="00E92890">
      <w:pPr>
        <w:jc w:val="both"/>
        <w:rPr>
          <w:rFonts w:ascii="Verdana" w:hAnsi="Verdana"/>
        </w:rPr>
      </w:pPr>
      <w:r w:rsidRPr="00E92890">
        <w:rPr>
          <w:rFonts w:ascii="Verdana" w:hAnsi="Verdana"/>
        </w:rPr>
        <w:t>Que el Instituto debe promover la venta de los inmuebles que no necesita para su uso, cualquiera hayan sido el título o modo de adquisición, por lo que adoptó su Plan de Enajenación Onerosa mediante la Resolución No.783 del 20 de abril de 2007, el cual se ha venido actualizando periódicamente, conforme a lo dispuesto por el artículo 4o del Decreto 4637 de 2008.</w:t>
      </w:r>
    </w:p>
    <w:p w14:paraId="473B372D" w14:textId="77777777" w:rsidR="00E92890" w:rsidRPr="00E92890" w:rsidRDefault="00E92890" w:rsidP="00E92890">
      <w:pPr>
        <w:jc w:val="both"/>
        <w:rPr>
          <w:rFonts w:ascii="Verdana" w:hAnsi="Verdana"/>
        </w:rPr>
      </w:pPr>
      <w:r w:rsidRPr="00E92890">
        <w:rPr>
          <w:rFonts w:ascii="Verdana" w:hAnsi="Verdana"/>
        </w:rPr>
        <w:t>Que los bienes que hacen parte del Plan de Enajenación Onerosa (i) no tienen vocación para la construcción de vivienda de interés social, (</w:t>
      </w:r>
      <w:proofErr w:type="spellStart"/>
      <w:r w:rsidRPr="00E92890">
        <w:rPr>
          <w:rFonts w:ascii="Verdana" w:hAnsi="Verdana"/>
        </w:rPr>
        <w:t>ii</w:t>
      </w:r>
      <w:proofErr w:type="spellEnd"/>
      <w:r w:rsidRPr="00E92890">
        <w:rPr>
          <w:rFonts w:ascii="Verdana" w:hAnsi="Verdana"/>
        </w:rPr>
        <w:t>) no los requiere la entidad para el desarrollo de sus funciones, (</w:t>
      </w:r>
      <w:proofErr w:type="spellStart"/>
      <w:r w:rsidRPr="00E92890">
        <w:rPr>
          <w:rFonts w:ascii="Verdana" w:hAnsi="Verdana"/>
        </w:rPr>
        <w:t>iii</w:t>
      </w:r>
      <w:proofErr w:type="spellEnd"/>
      <w:r w:rsidRPr="00E92890">
        <w:rPr>
          <w:rFonts w:ascii="Verdana" w:hAnsi="Verdana"/>
        </w:rPr>
        <w:t xml:space="preserve">) no han sido solicitados por otras entidades para el desarrollo de programas contemplados en el Plan </w:t>
      </w:r>
      <w:r w:rsidRPr="00E92890">
        <w:rPr>
          <w:rFonts w:ascii="Verdana" w:hAnsi="Verdana"/>
        </w:rPr>
        <w:lastRenderedPageBreak/>
        <w:t>Nacional de Desarrollo, (</w:t>
      </w:r>
      <w:proofErr w:type="spellStart"/>
      <w:r w:rsidRPr="00E92890">
        <w:rPr>
          <w:rFonts w:ascii="Verdana" w:hAnsi="Verdana"/>
        </w:rPr>
        <w:t>iv</w:t>
      </w:r>
      <w:proofErr w:type="spellEnd"/>
      <w:r w:rsidRPr="00E92890">
        <w:rPr>
          <w:rFonts w:ascii="Verdana" w:hAnsi="Verdana"/>
        </w:rPr>
        <w:t>) no se encuentran dentro de los taxativamente excluidos por el artículo 3o del Decreto 4637 de 2008.</w:t>
      </w:r>
    </w:p>
    <w:p w14:paraId="45C09EA7" w14:textId="77777777" w:rsidR="00E92890" w:rsidRPr="00E92890" w:rsidRDefault="00E92890" w:rsidP="00E92890">
      <w:pPr>
        <w:jc w:val="both"/>
        <w:rPr>
          <w:rFonts w:ascii="Verdana" w:hAnsi="Verdana"/>
        </w:rPr>
      </w:pPr>
      <w:r w:rsidRPr="00E92890">
        <w:rPr>
          <w:rFonts w:ascii="Verdana" w:hAnsi="Verdana"/>
        </w:rPr>
        <w:t>Que el artículo 2o del Decreto 4637 de 2008 definió los Planes de Enajenación Onerosa como</w:t>
      </w:r>
      <w:r w:rsidRPr="00E92890">
        <w:rPr>
          <w:rFonts w:ascii="Verdana" w:hAnsi="Verdana"/>
          <w:i/>
          <w:iCs/>
        </w:rPr>
        <w:t> "(...) aquellos actos a través de los cuales las entidades públicas 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 y los que se encuentran incluidos en el artículo 3o del presente decreto (...)".</w:t>
      </w:r>
    </w:p>
    <w:p w14:paraId="09933653" w14:textId="7E6E0F4D" w:rsidR="00E92890" w:rsidRPr="00E92890" w:rsidRDefault="00E92890" w:rsidP="00E92890">
      <w:pPr>
        <w:jc w:val="both"/>
        <w:rPr>
          <w:rFonts w:ascii="Verdana" w:hAnsi="Verdana"/>
        </w:rPr>
      </w:pPr>
      <w:r w:rsidRPr="00E92890">
        <w:rPr>
          <w:rFonts w:ascii="Verdana" w:hAnsi="Verdana"/>
        </w:rPr>
        <w:t xml:space="preserve">Que el artículo 5o de la Resolución interna </w:t>
      </w:r>
      <w:proofErr w:type="spellStart"/>
      <w:r w:rsidRPr="00E92890">
        <w:rPr>
          <w:rFonts w:ascii="Verdana" w:hAnsi="Verdana"/>
        </w:rPr>
        <w:t>N°</w:t>
      </w:r>
      <w:proofErr w:type="spellEnd"/>
      <w:r w:rsidRPr="00E92890">
        <w:rPr>
          <w:rFonts w:ascii="Verdana" w:hAnsi="Verdana"/>
        </w:rPr>
        <w:t xml:space="preserve"> 2875 de 13 de julio de 2010 dispuso que los inmuebles no saneados se podrán incluir en el Plan de Enajenación Onerosa cuando se determine la existencia de un potencial comprador que los desee adquirir en el estado jurídico o administrativo en que se encuentren.</w:t>
      </w:r>
    </w:p>
    <w:p w14:paraId="6F97D6D5" w14:textId="77777777" w:rsidR="00E92890" w:rsidRPr="00E92890" w:rsidRDefault="00E92890" w:rsidP="00E92890">
      <w:pPr>
        <w:jc w:val="both"/>
        <w:rPr>
          <w:rFonts w:ascii="Verdana" w:hAnsi="Verdana"/>
        </w:rPr>
      </w:pPr>
      <w:r w:rsidRPr="00E92890">
        <w:rPr>
          <w:rFonts w:ascii="Verdana" w:hAnsi="Verdana"/>
        </w:rPr>
        <w:t>Que los inmuebles no saneados con carta de propuesta de compra que se adicionan al Plan de Enajenación Onerosa son: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72"/>
        <w:gridCol w:w="874"/>
        <w:gridCol w:w="955"/>
        <w:gridCol w:w="935"/>
        <w:gridCol w:w="1145"/>
        <w:gridCol w:w="1219"/>
        <w:gridCol w:w="1010"/>
        <w:gridCol w:w="1250"/>
        <w:gridCol w:w="1078"/>
      </w:tblGrid>
      <w:tr w:rsidR="00E92890" w:rsidRPr="00E92890" w14:paraId="7E0DCF6C"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2F198A90" w14:textId="77777777" w:rsidR="00E92890" w:rsidRPr="00E92890" w:rsidRDefault="00E92890" w:rsidP="00E92890">
            <w:pPr>
              <w:jc w:val="both"/>
              <w:rPr>
                <w:rFonts w:ascii="Verdana" w:hAnsi="Verdana"/>
              </w:rPr>
            </w:pPr>
            <w:r w:rsidRPr="00E92890">
              <w:rPr>
                <w:rFonts w:ascii="Verdana" w:hAnsi="Verdana"/>
                <w:b/>
                <w:bCs/>
              </w:rPr>
              <w:t>No.</w:t>
            </w:r>
          </w:p>
        </w:tc>
        <w:tc>
          <w:tcPr>
            <w:tcW w:w="450" w:type="pct"/>
            <w:tcBorders>
              <w:top w:val="nil"/>
              <w:left w:val="nil"/>
              <w:bottom w:val="nil"/>
              <w:right w:val="nil"/>
            </w:tcBorders>
            <w:tcMar>
              <w:top w:w="0" w:type="dxa"/>
              <w:left w:w="0" w:type="dxa"/>
              <w:bottom w:w="0" w:type="dxa"/>
              <w:right w:w="0" w:type="dxa"/>
            </w:tcMar>
            <w:hideMark/>
          </w:tcPr>
          <w:p w14:paraId="01E5806C" w14:textId="77777777" w:rsidR="00E92890" w:rsidRPr="00E92890" w:rsidRDefault="00E92890" w:rsidP="00E92890">
            <w:pPr>
              <w:jc w:val="both"/>
              <w:rPr>
                <w:rFonts w:ascii="Verdana" w:hAnsi="Verdana"/>
              </w:rPr>
            </w:pPr>
            <w:r w:rsidRPr="00E92890">
              <w:rPr>
                <w:rFonts w:ascii="Verdana" w:hAnsi="Verdana"/>
                <w:b/>
                <w:bCs/>
              </w:rPr>
              <w:t>Regional</w:t>
            </w:r>
          </w:p>
        </w:tc>
        <w:tc>
          <w:tcPr>
            <w:tcW w:w="500" w:type="pct"/>
            <w:tcBorders>
              <w:top w:val="nil"/>
              <w:left w:val="nil"/>
              <w:bottom w:val="nil"/>
              <w:right w:val="nil"/>
            </w:tcBorders>
            <w:tcMar>
              <w:top w:w="0" w:type="dxa"/>
              <w:left w:w="0" w:type="dxa"/>
              <w:bottom w:w="0" w:type="dxa"/>
              <w:right w:w="0" w:type="dxa"/>
            </w:tcMar>
            <w:hideMark/>
          </w:tcPr>
          <w:p w14:paraId="5C7C54FF" w14:textId="77777777" w:rsidR="00E92890" w:rsidRPr="00E92890" w:rsidRDefault="00E92890" w:rsidP="00E92890">
            <w:pPr>
              <w:jc w:val="both"/>
              <w:rPr>
                <w:rFonts w:ascii="Verdana" w:hAnsi="Verdana"/>
              </w:rPr>
            </w:pPr>
            <w:r w:rsidRPr="00E92890">
              <w:rPr>
                <w:rFonts w:ascii="Verdana" w:hAnsi="Verdana"/>
                <w:b/>
                <w:bCs/>
              </w:rPr>
              <w:t>Municipio</w:t>
            </w:r>
          </w:p>
        </w:tc>
        <w:tc>
          <w:tcPr>
            <w:tcW w:w="800" w:type="pct"/>
            <w:tcBorders>
              <w:top w:val="nil"/>
              <w:left w:val="nil"/>
              <w:bottom w:val="nil"/>
              <w:right w:val="nil"/>
            </w:tcBorders>
            <w:tcMar>
              <w:top w:w="0" w:type="dxa"/>
              <w:left w:w="0" w:type="dxa"/>
              <w:bottom w:w="0" w:type="dxa"/>
              <w:right w:w="0" w:type="dxa"/>
            </w:tcMar>
            <w:hideMark/>
          </w:tcPr>
          <w:p w14:paraId="28D5A976" w14:textId="77777777" w:rsidR="00E92890" w:rsidRPr="00E92890" w:rsidRDefault="00E92890" w:rsidP="00E92890">
            <w:pPr>
              <w:jc w:val="both"/>
              <w:rPr>
                <w:rFonts w:ascii="Verdana" w:hAnsi="Verdana"/>
              </w:rPr>
            </w:pPr>
            <w:r w:rsidRPr="00E92890">
              <w:rPr>
                <w:rFonts w:ascii="Verdana" w:hAnsi="Verdana"/>
                <w:b/>
                <w:bCs/>
              </w:rPr>
              <w:t>Dirección</w:t>
            </w:r>
          </w:p>
        </w:tc>
        <w:tc>
          <w:tcPr>
            <w:tcW w:w="650" w:type="pct"/>
            <w:tcBorders>
              <w:top w:val="nil"/>
              <w:left w:val="nil"/>
              <w:bottom w:val="nil"/>
              <w:right w:val="nil"/>
            </w:tcBorders>
            <w:tcMar>
              <w:top w:w="0" w:type="dxa"/>
              <w:left w:w="0" w:type="dxa"/>
              <w:bottom w:w="0" w:type="dxa"/>
              <w:right w:w="0" w:type="dxa"/>
            </w:tcMar>
            <w:hideMark/>
          </w:tcPr>
          <w:p w14:paraId="27D2D0C9" w14:textId="77777777" w:rsidR="00E92890" w:rsidRPr="00E92890" w:rsidRDefault="00E92890" w:rsidP="00E92890">
            <w:pPr>
              <w:jc w:val="both"/>
              <w:rPr>
                <w:rFonts w:ascii="Verdana" w:hAnsi="Verdana"/>
              </w:rPr>
            </w:pPr>
            <w:r w:rsidRPr="00E92890">
              <w:rPr>
                <w:rFonts w:ascii="Verdana" w:hAnsi="Verdana"/>
                <w:b/>
                <w:bCs/>
              </w:rPr>
              <w:t>Tipo de inmueble</w:t>
            </w:r>
          </w:p>
        </w:tc>
        <w:tc>
          <w:tcPr>
            <w:tcW w:w="650" w:type="pct"/>
            <w:tcBorders>
              <w:top w:val="nil"/>
              <w:left w:val="nil"/>
              <w:bottom w:val="nil"/>
              <w:right w:val="nil"/>
            </w:tcBorders>
            <w:tcMar>
              <w:top w:w="0" w:type="dxa"/>
              <w:left w:w="0" w:type="dxa"/>
              <w:bottom w:w="0" w:type="dxa"/>
              <w:right w:w="0" w:type="dxa"/>
            </w:tcMar>
            <w:hideMark/>
          </w:tcPr>
          <w:p w14:paraId="5DA07C58" w14:textId="77777777" w:rsidR="00E92890" w:rsidRPr="00E92890" w:rsidRDefault="00E92890" w:rsidP="00E92890">
            <w:pPr>
              <w:jc w:val="both"/>
              <w:rPr>
                <w:rFonts w:ascii="Verdana" w:hAnsi="Verdana"/>
              </w:rPr>
            </w:pPr>
            <w:r w:rsidRPr="00E92890">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70CF2730" w14:textId="77777777" w:rsidR="00E92890" w:rsidRPr="00E92890" w:rsidRDefault="00E92890" w:rsidP="00E92890">
            <w:pPr>
              <w:jc w:val="both"/>
              <w:rPr>
                <w:rFonts w:ascii="Verdana" w:hAnsi="Verdana"/>
              </w:rPr>
            </w:pPr>
            <w:r w:rsidRPr="00E92890">
              <w:rPr>
                <w:rFonts w:ascii="Verdana" w:hAnsi="Verdana"/>
                <w:b/>
                <w:bCs/>
              </w:rPr>
              <w:t>% de Propiedad</w:t>
            </w:r>
          </w:p>
        </w:tc>
        <w:tc>
          <w:tcPr>
            <w:tcW w:w="650" w:type="pct"/>
            <w:tcBorders>
              <w:top w:val="nil"/>
              <w:left w:val="nil"/>
              <w:bottom w:val="nil"/>
              <w:right w:val="nil"/>
            </w:tcBorders>
            <w:tcMar>
              <w:top w:w="0" w:type="dxa"/>
              <w:left w:w="0" w:type="dxa"/>
              <w:bottom w:w="0" w:type="dxa"/>
              <w:right w:w="0" w:type="dxa"/>
            </w:tcMar>
            <w:hideMark/>
          </w:tcPr>
          <w:p w14:paraId="561F59DE" w14:textId="77777777" w:rsidR="00E92890" w:rsidRPr="00E92890" w:rsidRDefault="00E92890" w:rsidP="00E92890">
            <w:pPr>
              <w:jc w:val="both"/>
              <w:rPr>
                <w:rFonts w:ascii="Verdana" w:hAnsi="Verdana"/>
              </w:rPr>
            </w:pPr>
            <w:r w:rsidRPr="00E92890">
              <w:rPr>
                <w:rFonts w:ascii="Verdana" w:hAnsi="Verdana"/>
                <w:b/>
                <w:bCs/>
              </w:rPr>
              <w:t>Avalúo Comercial</w:t>
            </w:r>
          </w:p>
        </w:tc>
        <w:tc>
          <w:tcPr>
            <w:tcW w:w="550" w:type="pct"/>
            <w:tcBorders>
              <w:top w:val="nil"/>
              <w:left w:val="nil"/>
              <w:bottom w:val="nil"/>
              <w:right w:val="nil"/>
            </w:tcBorders>
            <w:tcMar>
              <w:top w:w="0" w:type="dxa"/>
              <w:left w:w="0" w:type="dxa"/>
              <w:bottom w:w="0" w:type="dxa"/>
              <w:right w:w="0" w:type="dxa"/>
            </w:tcMar>
            <w:hideMark/>
          </w:tcPr>
          <w:p w14:paraId="0BC77630" w14:textId="77777777" w:rsidR="00E92890" w:rsidRPr="00E92890" w:rsidRDefault="00E92890" w:rsidP="00E92890">
            <w:pPr>
              <w:jc w:val="both"/>
              <w:rPr>
                <w:rFonts w:ascii="Verdana" w:hAnsi="Verdana"/>
              </w:rPr>
            </w:pPr>
            <w:r w:rsidRPr="00E92890">
              <w:rPr>
                <w:rFonts w:ascii="Verdana" w:hAnsi="Verdana"/>
                <w:b/>
                <w:bCs/>
              </w:rPr>
              <w:t>Fecha Avalúo</w:t>
            </w:r>
          </w:p>
        </w:tc>
      </w:tr>
      <w:tr w:rsidR="00E92890" w:rsidRPr="00E92890" w14:paraId="1727FD90"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72DB6714" w14:textId="77777777" w:rsidR="00E92890" w:rsidRPr="00E92890" w:rsidRDefault="00E92890" w:rsidP="00E92890">
            <w:pPr>
              <w:jc w:val="both"/>
              <w:rPr>
                <w:rFonts w:ascii="Verdana" w:hAnsi="Verdana"/>
              </w:rPr>
            </w:pPr>
            <w:r w:rsidRPr="00E92890">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660E6C6A" w14:textId="77777777" w:rsidR="00E92890" w:rsidRPr="00E92890" w:rsidRDefault="00E92890" w:rsidP="00E92890">
            <w:pPr>
              <w:jc w:val="both"/>
              <w:rPr>
                <w:rFonts w:ascii="Verdana" w:hAnsi="Verdana"/>
              </w:rPr>
            </w:pPr>
            <w:r w:rsidRPr="00E92890">
              <w:rPr>
                <w:rFonts w:ascii="Verdana" w:hAnsi="Verdana"/>
              </w:rPr>
              <w:t>Bogotá</w:t>
            </w:r>
          </w:p>
        </w:tc>
        <w:tc>
          <w:tcPr>
            <w:tcW w:w="500" w:type="pct"/>
            <w:tcBorders>
              <w:top w:val="nil"/>
              <w:left w:val="nil"/>
              <w:bottom w:val="nil"/>
              <w:right w:val="nil"/>
            </w:tcBorders>
            <w:tcMar>
              <w:top w:w="0" w:type="dxa"/>
              <w:left w:w="0" w:type="dxa"/>
              <w:bottom w:w="0" w:type="dxa"/>
              <w:right w:w="0" w:type="dxa"/>
            </w:tcMar>
            <w:hideMark/>
          </w:tcPr>
          <w:p w14:paraId="52620BFA" w14:textId="77777777" w:rsidR="00E92890" w:rsidRPr="00E92890" w:rsidRDefault="00E92890" w:rsidP="00E92890">
            <w:pPr>
              <w:jc w:val="both"/>
              <w:rPr>
                <w:rFonts w:ascii="Verdana" w:hAnsi="Verdana"/>
              </w:rPr>
            </w:pPr>
            <w:r w:rsidRPr="00E92890">
              <w:rPr>
                <w:rFonts w:ascii="Verdana" w:hAnsi="Verdana"/>
              </w:rPr>
              <w:t>Bogotá</w:t>
            </w:r>
            <w:r w:rsidRPr="00E92890">
              <w:rPr>
                <w:rFonts w:ascii="Verdana" w:hAnsi="Verdana"/>
              </w:rPr>
              <w:br/>
              <w:t>D.C.</w:t>
            </w:r>
          </w:p>
        </w:tc>
        <w:tc>
          <w:tcPr>
            <w:tcW w:w="800" w:type="pct"/>
            <w:tcBorders>
              <w:top w:val="nil"/>
              <w:left w:val="nil"/>
              <w:bottom w:val="nil"/>
              <w:right w:val="nil"/>
            </w:tcBorders>
            <w:tcMar>
              <w:top w:w="0" w:type="dxa"/>
              <w:left w:w="0" w:type="dxa"/>
              <w:bottom w:w="0" w:type="dxa"/>
              <w:right w:w="0" w:type="dxa"/>
            </w:tcMar>
            <w:hideMark/>
          </w:tcPr>
          <w:p w14:paraId="16725E20" w14:textId="77777777" w:rsidR="00E92890" w:rsidRPr="00E92890" w:rsidRDefault="00E92890" w:rsidP="00E92890">
            <w:pPr>
              <w:jc w:val="both"/>
              <w:rPr>
                <w:rFonts w:ascii="Verdana" w:hAnsi="Verdana"/>
              </w:rPr>
            </w:pPr>
            <w:r w:rsidRPr="00E92890">
              <w:rPr>
                <w:rFonts w:ascii="Verdana" w:hAnsi="Verdana"/>
              </w:rPr>
              <w:t xml:space="preserve">KR 72A </w:t>
            </w:r>
            <w:proofErr w:type="spellStart"/>
            <w:r w:rsidRPr="00E92890">
              <w:rPr>
                <w:rFonts w:ascii="Verdana" w:hAnsi="Verdana"/>
              </w:rPr>
              <w:t>N°</w:t>
            </w:r>
            <w:proofErr w:type="spellEnd"/>
            <w:r w:rsidRPr="00E92890">
              <w:rPr>
                <w:rFonts w:ascii="Verdana" w:hAnsi="Verdana"/>
              </w:rPr>
              <w:t xml:space="preserve"> 70-38</w:t>
            </w:r>
          </w:p>
        </w:tc>
        <w:tc>
          <w:tcPr>
            <w:tcW w:w="650" w:type="pct"/>
            <w:tcBorders>
              <w:top w:val="nil"/>
              <w:left w:val="nil"/>
              <w:bottom w:val="nil"/>
              <w:right w:val="nil"/>
            </w:tcBorders>
            <w:tcMar>
              <w:top w:w="0" w:type="dxa"/>
              <w:left w:w="0" w:type="dxa"/>
              <w:bottom w:w="0" w:type="dxa"/>
              <w:right w:w="0" w:type="dxa"/>
            </w:tcMar>
            <w:hideMark/>
          </w:tcPr>
          <w:p w14:paraId="3C919F1B" w14:textId="77777777" w:rsidR="00E92890" w:rsidRPr="00E92890" w:rsidRDefault="00E92890" w:rsidP="00E92890">
            <w:pPr>
              <w:jc w:val="both"/>
              <w:rPr>
                <w:rFonts w:ascii="Verdana" w:hAnsi="Verdana"/>
              </w:rPr>
            </w:pPr>
            <w:r w:rsidRPr="00E92890">
              <w:rPr>
                <w:rFonts w:ascii="Verdana" w:hAnsi="Verdana"/>
              </w:rPr>
              <w:t>Lote con Construcción</w:t>
            </w:r>
          </w:p>
        </w:tc>
        <w:tc>
          <w:tcPr>
            <w:tcW w:w="650" w:type="pct"/>
            <w:tcBorders>
              <w:top w:val="nil"/>
              <w:left w:val="nil"/>
              <w:bottom w:val="nil"/>
              <w:right w:val="nil"/>
            </w:tcBorders>
            <w:tcMar>
              <w:top w:w="0" w:type="dxa"/>
              <w:left w:w="0" w:type="dxa"/>
              <w:bottom w:w="0" w:type="dxa"/>
              <w:right w:w="0" w:type="dxa"/>
            </w:tcMar>
            <w:hideMark/>
          </w:tcPr>
          <w:p w14:paraId="3991B277" w14:textId="77777777" w:rsidR="00E92890" w:rsidRPr="00E92890" w:rsidRDefault="00E92890" w:rsidP="00E92890">
            <w:pPr>
              <w:jc w:val="both"/>
              <w:rPr>
                <w:rFonts w:ascii="Verdana" w:hAnsi="Verdana"/>
              </w:rPr>
            </w:pPr>
            <w:r w:rsidRPr="00E92890">
              <w:rPr>
                <w:rFonts w:ascii="Verdana" w:hAnsi="Verdana"/>
              </w:rPr>
              <w:t>50C-788527</w:t>
            </w:r>
          </w:p>
        </w:tc>
        <w:tc>
          <w:tcPr>
            <w:tcW w:w="550" w:type="pct"/>
            <w:tcBorders>
              <w:top w:val="nil"/>
              <w:left w:val="nil"/>
              <w:bottom w:val="nil"/>
              <w:right w:val="nil"/>
            </w:tcBorders>
            <w:tcMar>
              <w:top w:w="0" w:type="dxa"/>
              <w:left w:w="0" w:type="dxa"/>
              <w:bottom w:w="0" w:type="dxa"/>
              <w:right w:w="0" w:type="dxa"/>
            </w:tcMar>
            <w:hideMark/>
          </w:tcPr>
          <w:p w14:paraId="25784909" w14:textId="77777777" w:rsidR="00E92890" w:rsidRPr="00E92890" w:rsidRDefault="00E92890" w:rsidP="00E92890">
            <w:pPr>
              <w:jc w:val="both"/>
              <w:rPr>
                <w:rFonts w:ascii="Verdana" w:hAnsi="Verdana"/>
              </w:rPr>
            </w:pPr>
            <w:r w:rsidRPr="00E92890">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1296B4E4" w14:textId="77777777" w:rsidR="00E92890" w:rsidRPr="00E92890" w:rsidRDefault="00E92890" w:rsidP="00E92890">
            <w:pPr>
              <w:jc w:val="both"/>
              <w:rPr>
                <w:rFonts w:ascii="Verdana" w:hAnsi="Verdana"/>
              </w:rPr>
            </w:pPr>
            <w:r w:rsidRPr="00E92890">
              <w:rPr>
                <w:rFonts w:ascii="Verdana" w:hAnsi="Verdana"/>
              </w:rPr>
              <w:t>$142.026.000</w:t>
            </w:r>
          </w:p>
        </w:tc>
        <w:tc>
          <w:tcPr>
            <w:tcW w:w="550" w:type="pct"/>
            <w:tcBorders>
              <w:top w:val="nil"/>
              <w:left w:val="nil"/>
              <w:bottom w:val="nil"/>
              <w:right w:val="nil"/>
            </w:tcBorders>
            <w:tcMar>
              <w:top w:w="0" w:type="dxa"/>
              <w:left w:w="0" w:type="dxa"/>
              <w:bottom w:w="0" w:type="dxa"/>
              <w:right w:w="0" w:type="dxa"/>
            </w:tcMar>
            <w:hideMark/>
          </w:tcPr>
          <w:p w14:paraId="3AA64168" w14:textId="77777777" w:rsidR="00E92890" w:rsidRPr="00E92890" w:rsidRDefault="00E92890" w:rsidP="00E92890">
            <w:pPr>
              <w:jc w:val="both"/>
              <w:rPr>
                <w:rFonts w:ascii="Verdana" w:hAnsi="Verdana"/>
              </w:rPr>
            </w:pPr>
            <w:r w:rsidRPr="00E92890">
              <w:rPr>
                <w:rFonts w:ascii="Verdana" w:hAnsi="Verdana"/>
              </w:rPr>
              <w:t>22/04/2010</w:t>
            </w:r>
          </w:p>
        </w:tc>
      </w:tr>
      <w:tr w:rsidR="00E92890" w:rsidRPr="00E92890" w14:paraId="4028428F"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74373B6D" w14:textId="77777777" w:rsidR="00E92890" w:rsidRPr="00E92890" w:rsidRDefault="00E92890" w:rsidP="00E92890">
            <w:pPr>
              <w:jc w:val="both"/>
              <w:rPr>
                <w:rFonts w:ascii="Verdana" w:hAnsi="Verdana"/>
              </w:rPr>
            </w:pPr>
            <w:r w:rsidRPr="00E92890">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05EFB4B2" w14:textId="77777777" w:rsidR="00E92890" w:rsidRPr="00E92890" w:rsidRDefault="00E92890" w:rsidP="00E92890">
            <w:pPr>
              <w:jc w:val="both"/>
              <w:rPr>
                <w:rFonts w:ascii="Verdana" w:hAnsi="Verdana"/>
              </w:rPr>
            </w:pPr>
            <w:r w:rsidRPr="00E92890">
              <w:rPr>
                <w:rFonts w:ascii="Verdana" w:hAnsi="Verdana"/>
              </w:rPr>
              <w:t>Bogotá</w:t>
            </w:r>
          </w:p>
        </w:tc>
        <w:tc>
          <w:tcPr>
            <w:tcW w:w="500" w:type="pct"/>
            <w:tcBorders>
              <w:top w:val="nil"/>
              <w:left w:val="nil"/>
              <w:bottom w:val="nil"/>
              <w:right w:val="nil"/>
            </w:tcBorders>
            <w:tcMar>
              <w:top w:w="0" w:type="dxa"/>
              <w:left w:w="0" w:type="dxa"/>
              <w:bottom w:w="0" w:type="dxa"/>
              <w:right w:w="0" w:type="dxa"/>
            </w:tcMar>
            <w:hideMark/>
          </w:tcPr>
          <w:p w14:paraId="57F3B9F3" w14:textId="77777777" w:rsidR="00E92890" w:rsidRPr="00E92890" w:rsidRDefault="00E92890" w:rsidP="00E92890">
            <w:pPr>
              <w:jc w:val="both"/>
              <w:rPr>
                <w:rFonts w:ascii="Verdana" w:hAnsi="Verdana"/>
              </w:rPr>
            </w:pPr>
            <w:r w:rsidRPr="00E92890">
              <w:rPr>
                <w:rFonts w:ascii="Verdana" w:hAnsi="Verdana"/>
              </w:rPr>
              <w:t>Bogotá</w:t>
            </w:r>
            <w:r w:rsidRPr="00E92890">
              <w:rPr>
                <w:rFonts w:ascii="Verdana" w:hAnsi="Verdana"/>
              </w:rPr>
              <w:br/>
              <w:t>D.C.</w:t>
            </w:r>
          </w:p>
        </w:tc>
        <w:tc>
          <w:tcPr>
            <w:tcW w:w="800" w:type="pct"/>
            <w:tcBorders>
              <w:top w:val="nil"/>
              <w:left w:val="nil"/>
              <w:bottom w:val="nil"/>
              <w:right w:val="nil"/>
            </w:tcBorders>
            <w:tcMar>
              <w:top w:w="0" w:type="dxa"/>
              <w:left w:w="0" w:type="dxa"/>
              <w:bottom w:w="0" w:type="dxa"/>
              <w:right w:w="0" w:type="dxa"/>
            </w:tcMar>
            <w:hideMark/>
          </w:tcPr>
          <w:p w14:paraId="3C317C57" w14:textId="77777777" w:rsidR="00E92890" w:rsidRPr="00E92890" w:rsidRDefault="00E92890" w:rsidP="00E92890">
            <w:pPr>
              <w:jc w:val="both"/>
              <w:rPr>
                <w:rFonts w:ascii="Verdana" w:hAnsi="Verdana"/>
              </w:rPr>
            </w:pPr>
            <w:r w:rsidRPr="00E92890">
              <w:rPr>
                <w:rFonts w:ascii="Verdana" w:hAnsi="Verdana"/>
              </w:rPr>
              <w:t xml:space="preserve">KR 39 B </w:t>
            </w:r>
            <w:proofErr w:type="spellStart"/>
            <w:r w:rsidRPr="00E92890">
              <w:rPr>
                <w:rFonts w:ascii="Verdana" w:hAnsi="Verdana"/>
              </w:rPr>
              <w:t>N°</w:t>
            </w:r>
            <w:proofErr w:type="spellEnd"/>
            <w:r w:rsidRPr="00E92890">
              <w:rPr>
                <w:rFonts w:ascii="Verdana" w:hAnsi="Verdana"/>
              </w:rPr>
              <w:t xml:space="preserve"> 2B-58</w:t>
            </w:r>
          </w:p>
        </w:tc>
        <w:tc>
          <w:tcPr>
            <w:tcW w:w="650" w:type="pct"/>
            <w:tcBorders>
              <w:top w:val="nil"/>
              <w:left w:val="nil"/>
              <w:bottom w:val="nil"/>
              <w:right w:val="nil"/>
            </w:tcBorders>
            <w:tcMar>
              <w:top w:w="0" w:type="dxa"/>
              <w:left w:w="0" w:type="dxa"/>
              <w:bottom w:w="0" w:type="dxa"/>
              <w:right w:w="0" w:type="dxa"/>
            </w:tcMar>
            <w:hideMark/>
          </w:tcPr>
          <w:p w14:paraId="517BE002" w14:textId="77777777" w:rsidR="00E92890" w:rsidRPr="00E92890" w:rsidRDefault="00E92890" w:rsidP="00E92890">
            <w:pPr>
              <w:jc w:val="both"/>
              <w:rPr>
                <w:rFonts w:ascii="Verdana" w:hAnsi="Verdana"/>
              </w:rPr>
            </w:pPr>
            <w:r w:rsidRPr="00E92890">
              <w:rPr>
                <w:rFonts w:ascii="Verdana" w:hAnsi="Verdana"/>
              </w:rPr>
              <w:t>Casa</w:t>
            </w:r>
          </w:p>
        </w:tc>
        <w:tc>
          <w:tcPr>
            <w:tcW w:w="650" w:type="pct"/>
            <w:tcBorders>
              <w:top w:val="nil"/>
              <w:left w:val="nil"/>
              <w:bottom w:val="nil"/>
              <w:right w:val="nil"/>
            </w:tcBorders>
            <w:tcMar>
              <w:top w:w="0" w:type="dxa"/>
              <w:left w:w="0" w:type="dxa"/>
              <w:bottom w:w="0" w:type="dxa"/>
              <w:right w:w="0" w:type="dxa"/>
            </w:tcMar>
            <w:hideMark/>
          </w:tcPr>
          <w:p w14:paraId="184D94BB" w14:textId="77777777" w:rsidR="00E92890" w:rsidRPr="00E92890" w:rsidRDefault="00E92890" w:rsidP="00E92890">
            <w:pPr>
              <w:jc w:val="both"/>
              <w:rPr>
                <w:rFonts w:ascii="Verdana" w:hAnsi="Verdana"/>
              </w:rPr>
            </w:pPr>
            <w:r w:rsidRPr="00E92890">
              <w:rPr>
                <w:rFonts w:ascii="Verdana" w:hAnsi="Verdana"/>
              </w:rPr>
              <w:t>50C-1413067</w:t>
            </w:r>
          </w:p>
        </w:tc>
        <w:tc>
          <w:tcPr>
            <w:tcW w:w="550" w:type="pct"/>
            <w:tcBorders>
              <w:top w:val="nil"/>
              <w:left w:val="nil"/>
              <w:bottom w:val="nil"/>
              <w:right w:val="nil"/>
            </w:tcBorders>
            <w:tcMar>
              <w:top w:w="0" w:type="dxa"/>
              <w:left w:w="0" w:type="dxa"/>
              <w:bottom w:w="0" w:type="dxa"/>
              <w:right w:w="0" w:type="dxa"/>
            </w:tcMar>
            <w:hideMark/>
          </w:tcPr>
          <w:p w14:paraId="734F81E7" w14:textId="77777777" w:rsidR="00E92890" w:rsidRPr="00E92890" w:rsidRDefault="00E92890" w:rsidP="00E92890">
            <w:pPr>
              <w:jc w:val="both"/>
              <w:rPr>
                <w:rFonts w:ascii="Verdana" w:hAnsi="Verdana"/>
              </w:rPr>
            </w:pPr>
            <w:r w:rsidRPr="00E92890">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4C376F0E" w14:textId="77777777" w:rsidR="00E92890" w:rsidRPr="00E92890" w:rsidRDefault="00E92890" w:rsidP="00E92890">
            <w:pPr>
              <w:jc w:val="both"/>
              <w:rPr>
                <w:rFonts w:ascii="Verdana" w:hAnsi="Verdana"/>
              </w:rPr>
            </w:pPr>
            <w:r w:rsidRPr="00E92890">
              <w:rPr>
                <w:rFonts w:ascii="Verdana" w:hAnsi="Verdana"/>
              </w:rPr>
              <w:t>$72.606.900</w:t>
            </w:r>
          </w:p>
        </w:tc>
        <w:tc>
          <w:tcPr>
            <w:tcW w:w="550" w:type="pct"/>
            <w:tcBorders>
              <w:top w:val="nil"/>
              <w:left w:val="nil"/>
              <w:bottom w:val="nil"/>
              <w:right w:val="nil"/>
            </w:tcBorders>
            <w:tcMar>
              <w:top w:w="0" w:type="dxa"/>
              <w:left w:w="0" w:type="dxa"/>
              <w:bottom w:w="0" w:type="dxa"/>
              <w:right w:w="0" w:type="dxa"/>
            </w:tcMar>
            <w:hideMark/>
          </w:tcPr>
          <w:p w14:paraId="05AC5AE9" w14:textId="77777777" w:rsidR="00E92890" w:rsidRPr="00E92890" w:rsidRDefault="00E92890" w:rsidP="00E92890">
            <w:pPr>
              <w:jc w:val="both"/>
              <w:rPr>
                <w:rFonts w:ascii="Verdana" w:hAnsi="Verdana"/>
              </w:rPr>
            </w:pPr>
            <w:r w:rsidRPr="00E92890">
              <w:rPr>
                <w:rFonts w:ascii="Verdana" w:hAnsi="Verdana"/>
              </w:rPr>
              <w:t>01/09/2010</w:t>
            </w:r>
          </w:p>
        </w:tc>
      </w:tr>
    </w:tbl>
    <w:p w14:paraId="638E3E57" w14:textId="77777777" w:rsidR="00E92890" w:rsidRPr="00E92890" w:rsidRDefault="00E92890" w:rsidP="00E92890">
      <w:pPr>
        <w:jc w:val="both"/>
        <w:rPr>
          <w:rFonts w:ascii="Verdana" w:hAnsi="Verdana"/>
        </w:rPr>
      </w:pPr>
      <w:r w:rsidRPr="00E92890">
        <w:rPr>
          <w:rFonts w:ascii="Verdana" w:hAnsi="Verdana"/>
        </w:rPr>
        <w:t>Que el Plan de Enajenación Onerosa del ICBF actualizado con estos inmuebles será publicado en la página web: </w:t>
      </w:r>
      <w:r w:rsidRPr="00E92890">
        <w:rPr>
          <w:rFonts w:ascii="Verdana" w:hAnsi="Verdana"/>
          <w:u w:val="single"/>
        </w:rPr>
        <w:t>www.icbf.gov.co</w:t>
      </w:r>
      <w:r w:rsidRPr="00E92890">
        <w:rPr>
          <w:rFonts w:ascii="Verdana" w:hAnsi="Verdana"/>
        </w:rPr>
        <w:t> y en el Diario Oficial.</w:t>
      </w:r>
    </w:p>
    <w:p w14:paraId="62FA7A00" w14:textId="77777777" w:rsidR="00E92890" w:rsidRPr="00E92890" w:rsidRDefault="00E92890" w:rsidP="00E92890">
      <w:pPr>
        <w:jc w:val="both"/>
        <w:rPr>
          <w:rFonts w:ascii="Verdana" w:hAnsi="Verdana"/>
        </w:rPr>
      </w:pPr>
      <w:proofErr w:type="gramStart"/>
      <w:r w:rsidRPr="00E92890">
        <w:rPr>
          <w:rFonts w:ascii="Verdana" w:hAnsi="Verdana"/>
        </w:rPr>
        <w:t>Que</w:t>
      </w:r>
      <w:proofErr w:type="gramEnd"/>
      <w:r w:rsidRPr="00E92890">
        <w:rPr>
          <w:rFonts w:ascii="Verdana" w:hAnsi="Verdana"/>
        </w:rPr>
        <w:t xml:space="preserve"> en mérito de lo expuesto,</w:t>
      </w:r>
    </w:p>
    <w:p w14:paraId="3E274F81" w14:textId="77777777" w:rsidR="00E92890" w:rsidRPr="00E92890" w:rsidRDefault="00E92890" w:rsidP="00BE1DF1">
      <w:pPr>
        <w:jc w:val="center"/>
        <w:rPr>
          <w:rFonts w:ascii="Verdana" w:hAnsi="Verdana"/>
        </w:rPr>
      </w:pPr>
      <w:r w:rsidRPr="00E92890">
        <w:rPr>
          <w:rFonts w:ascii="Verdana" w:hAnsi="Verdana"/>
          <w:b/>
          <w:bCs/>
        </w:rPr>
        <w:t>RESUELVE:</w:t>
      </w:r>
    </w:p>
    <w:p w14:paraId="0521EB39" w14:textId="07F4C6E5" w:rsidR="00E92890" w:rsidRPr="00E92890" w:rsidRDefault="00E92890" w:rsidP="00E92890">
      <w:pPr>
        <w:jc w:val="both"/>
        <w:rPr>
          <w:rFonts w:ascii="Verdana" w:hAnsi="Verdana"/>
        </w:rPr>
      </w:pPr>
      <w:bookmarkStart w:id="1" w:name="1"/>
      <w:r w:rsidRPr="00E92890">
        <w:rPr>
          <w:rFonts w:ascii="Verdana" w:hAnsi="Verdana"/>
          <w:b/>
          <w:bCs/>
        </w:rPr>
        <w:t>ARTÍCULO PRIMERO.</w:t>
      </w:r>
      <w:bookmarkEnd w:id="1"/>
      <w:r w:rsidRPr="00E92890">
        <w:rPr>
          <w:rFonts w:ascii="Verdana" w:hAnsi="Verdana"/>
        </w:rPr>
        <w:t>  Adicionar los siguientes inmuebles al Plan de Enajenación Onerosa del ICBF contenido en la Resolución 530 de 10 de febrero de 2011:</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72"/>
        <w:gridCol w:w="874"/>
        <w:gridCol w:w="955"/>
        <w:gridCol w:w="935"/>
        <w:gridCol w:w="1145"/>
        <w:gridCol w:w="1219"/>
        <w:gridCol w:w="1010"/>
        <w:gridCol w:w="1250"/>
        <w:gridCol w:w="1078"/>
      </w:tblGrid>
      <w:tr w:rsidR="00E92890" w:rsidRPr="00E92890" w14:paraId="3A927FAB"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014997A4" w14:textId="77777777" w:rsidR="00E92890" w:rsidRPr="00E92890" w:rsidRDefault="00E92890" w:rsidP="00E92890">
            <w:pPr>
              <w:jc w:val="both"/>
              <w:rPr>
                <w:rFonts w:ascii="Verdana" w:hAnsi="Verdana"/>
              </w:rPr>
            </w:pPr>
            <w:r w:rsidRPr="00E92890">
              <w:rPr>
                <w:rFonts w:ascii="Verdana" w:hAnsi="Verdana"/>
                <w:b/>
                <w:bCs/>
              </w:rPr>
              <w:t>No.</w:t>
            </w:r>
          </w:p>
        </w:tc>
        <w:tc>
          <w:tcPr>
            <w:tcW w:w="450" w:type="pct"/>
            <w:tcBorders>
              <w:top w:val="nil"/>
              <w:left w:val="nil"/>
              <w:bottom w:val="nil"/>
              <w:right w:val="nil"/>
            </w:tcBorders>
            <w:tcMar>
              <w:top w:w="0" w:type="dxa"/>
              <w:left w:w="0" w:type="dxa"/>
              <w:bottom w:w="0" w:type="dxa"/>
              <w:right w:w="0" w:type="dxa"/>
            </w:tcMar>
            <w:hideMark/>
          </w:tcPr>
          <w:p w14:paraId="7F4B2F50" w14:textId="77777777" w:rsidR="00E92890" w:rsidRPr="00E92890" w:rsidRDefault="00E92890" w:rsidP="00E92890">
            <w:pPr>
              <w:jc w:val="both"/>
              <w:rPr>
                <w:rFonts w:ascii="Verdana" w:hAnsi="Verdana"/>
              </w:rPr>
            </w:pPr>
            <w:r w:rsidRPr="00E92890">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02630DDF" w14:textId="77777777" w:rsidR="00E92890" w:rsidRPr="00E92890" w:rsidRDefault="00E92890" w:rsidP="00E92890">
            <w:pPr>
              <w:jc w:val="both"/>
              <w:rPr>
                <w:rFonts w:ascii="Verdana" w:hAnsi="Verdana"/>
              </w:rPr>
            </w:pPr>
            <w:r w:rsidRPr="00E92890">
              <w:rPr>
                <w:rFonts w:ascii="Verdana" w:hAnsi="Verdana"/>
                <w:b/>
                <w:bCs/>
              </w:rPr>
              <w:t>Municipio</w:t>
            </w:r>
          </w:p>
        </w:tc>
        <w:tc>
          <w:tcPr>
            <w:tcW w:w="800" w:type="pct"/>
            <w:tcBorders>
              <w:top w:val="nil"/>
              <w:left w:val="nil"/>
              <w:bottom w:val="nil"/>
              <w:right w:val="nil"/>
            </w:tcBorders>
            <w:tcMar>
              <w:top w:w="0" w:type="dxa"/>
              <w:left w:w="0" w:type="dxa"/>
              <w:bottom w:w="0" w:type="dxa"/>
              <w:right w:w="0" w:type="dxa"/>
            </w:tcMar>
            <w:hideMark/>
          </w:tcPr>
          <w:p w14:paraId="2D17E221" w14:textId="77777777" w:rsidR="00E92890" w:rsidRPr="00E92890" w:rsidRDefault="00E92890" w:rsidP="00E92890">
            <w:pPr>
              <w:jc w:val="both"/>
              <w:rPr>
                <w:rFonts w:ascii="Verdana" w:hAnsi="Verdana"/>
              </w:rPr>
            </w:pPr>
            <w:r w:rsidRPr="00E92890">
              <w:rPr>
                <w:rFonts w:ascii="Verdana" w:hAnsi="Verdana"/>
                <w:b/>
                <w:bCs/>
              </w:rPr>
              <w:t>Dirección</w:t>
            </w:r>
          </w:p>
        </w:tc>
        <w:tc>
          <w:tcPr>
            <w:tcW w:w="550" w:type="pct"/>
            <w:tcBorders>
              <w:top w:val="nil"/>
              <w:left w:val="nil"/>
              <w:bottom w:val="nil"/>
              <w:right w:val="nil"/>
            </w:tcBorders>
            <w:tcMar>
              <w:top w:w="0" w:type="dxa"/>
              <w:left w:w="0" w:type="dxa"/>
              <w:bottom w:w="0" w:type="dxa"/>
              <w:right w:w="0" w:type="dxa"/>
            </w:tcMar>
            <w:hideMark/>
          </w:tcPr>
          <w:p w14:paraId="084AD5B9" w14:textId="77777777" w:rsidR="00E92890" w:rsidRPr="00E92890" w:rsidRDefault="00E92890" w:rsidP="00E92890">
            <w:pPr>
              <w:jc w:val="both"/>
              <w:rPr>
                <w:rFonts w:ascii="Verdana" w:hAnsi="Verdana"/>
              </w:rPr>
            </w:pPr>
            <w:r w:rsidRPr="00E92890">
              <w:rPr>
                <w:rFonts w:ascii="Verdana" w:hAnsi="Verdana"/>
                <w:b/>
                <w:bCs/>
              </w:rPr>
              <w:t>Tipo de inmueble</w:t>
            </w:r>
          </w:p>
        </w:tc>
        <w:tc>
          <w:tcPr>
            <w:tcW w:w="800" w:type="pct"/>
            <w:tcBorders>
              <w:top w:val="nil"/>
              <w:left w:val="nil"/>
              <w:bottom w:val="nil"/>
              <w:right w:val="nil"/>
            </w:tcBorders>
            <w:tcMar>
              <w:top w:w="0" w:type="dxa"/>
              <w:left w:w="0" w:type="dxa"/>
              <w:bottom w:w="0" w:type="dxa"/>
              <w:right w:w="0" w:type="dxa"/>
            </w:tcMar>
            <w:hideMark/>
          </w:tcPr>
          <w:p w14:paraId="39F5DA7F" w14:textId="77777777" w:rsidR="00E92890" w:rsidRPr="00E92890" w:rsidRDefault="00E92890" w:rsidP="00E92890">
            <w:pPr>
              <w:jc w:val="both"/>
              <w:rPr>
                <w:rFonts w:ascii="Verdana" w:hAnsi="Verdana"/>
              </w:rPr>
            </w:pPr>
            <w:r w:rsidRPr="00E92890">
              <w:rPr>
                <w:rFonts w:ascii="Verdana" w:hAnsi="Verdana"/>
                <w:b/>
                <w:bCs/>
              </w:rPr>
              <w:t xml:space="preserve">No Matrícula </w:t>
            </w:r>
            <w:r w:rsidRPr="00E92890">
              <w:rPr>
                <w:rFonts w:ascii="Verdana" w:hAnsi="Verdana"/>
                <w:b/>
                <w:bCs/>
              </w:rPr>
              <w:lastRenderedPageBreak/>
              <w:t>Inmobiliaria</w:t>
            </w:r>
          </w:p>
        </w:tc>
        <w:tc>
          <w:tcPr>
            <w:tcW w:w="450" w:type="pct"/>
            <w:tcBorders>
              <w:top w:val="nil"/>
              <w:left w:val="nil"/>
              <w:bottom w:val="nil"/>
              <w:right w:val="nil"/>
            </w:tcBorders>
            <w:tcMar>
              <w:top w:w="0" w:type="dxa"/>
              <w:left w:w="0" w:type="dxa"/>
              <w:bottom w:w="0" w:type="dxa"/>
              <w:right w:w="0" w:type="dxa"/>
            </w:tcMar>
            <w:hideMark/>
          </w:tcPr>
          <w:p w14:paraId="27CC0E22" w14:textId="77777777" w:rsidR="00E92890" w:rsidRPr="00E92890" w:rsidRDefault="00E92890" w:rsidP="00E92890">
            <w:pPr>
              <w:jc w:val="both"/>
              <w:rPr>
                <w:rFonts w:ascii="Verdana" w:hAnsi="Verdana"/>
              </w:rPr>
            </w:pPr>
            <w:r w:rsidRPr="00E92890">
              <w:rPr>
                <w:rFonts w:ascii="Verdana" w:hAnsi="Verdana"/>
                <w:b/>
                <w:bCs/>
              </w:rPr>
              <w:lastRenderedPageBreak/>
              <w:t>% de Propiedad</w:t>
            </w:r>
          </w:p>
        </w:tc>
        <w:tc>
          <w:tcPr>
            <w:tcW w:w="650" w:type="pct"/>
            <w:tcBorders>
              <w:top w:val="nil"/>
              <w:left w:val="nil"/>
              <w:bottom w:val="nil"/>
              <w:right w:val="nil"/>
            </w:tcBorders>
            <w:tcMar>
              <w:top w:w="0" w:type="dxa"/>
              <w:left w:w="0" w:type="dxa"/>
              <w:bottom w:w="0" w:type="dxa"/>
              <w:right w:w="0" w:type="dxa"/>
            </w:tcMar>
            <w:hideMark/>
          </w:tcPr>
          <w:p w14:paraId="5A46F994" w14:textId="77777777" w:rsidR="00E92890" w:rsidRPr="00E92890" w:rsidRDefault="00E92890" w:rsidP="00E92890">
            <w:pPr>
              <w:jc w:val="both"/>
              <w:rPr>
                <w:rFonts w:ascii="Verdana" w:hAnsi="Verdana"/>
              </w:rPr>
            </w:pPr>
            <w:r w:rsidRPr="00E92890">
              <w:rPr>
                <w:rFonts w:ascii="Verdana" w:hAnsi="Verdana"/>
                <w:b/>
                <w:bCs/>
              </w:rPr>
              <w:t>Avalúo Comercial</w:t>
            </w:r>
          </w:p>
        </w:tc>
        <w:tc>
          <w:tcPr>
            <w:tcW w:w="450" w:type="pct"/>
            <w:tcBorders>
              <w:top w:val="nil"/>
              <w:left w:val="nil"/>
              <w:bottom w:val="nil"/>
              <w:right w:val="nil"/>
            </w:tcBorders>
            <w:tcMar>
              <w:top w:w="0" w:type="dxa"/>
              <w:left w:w="0" w:type="dxa"/>
              <w:bottom w:w="0" w:type="dxa"/>
              <w:right w:w="0" w:type="dxa"/>
            </w:tcMar>
            <w:hideMark/>
          </w:tcPr>
          <w:p w14:paraId="6FE18AB0" w14:textId="77777777" w:rsidR="00E92890" w:rsidRPr="00E92890" w:rsidRDefault="00E92890" w:rsidP="00E92890">
            <w:pPr>
              <w:jc w:val="both"/>
              <w:rPr>
                <w:rFonts w:ascii="Verdana" w:hAnsi="Verdana"/>
              </w:rPr>
            </w:pPr>
            <w:r w:rsidRPr="00E92890">
              <w:rPr>
                <w:rFonts w:ascii="Verdana" w:hAnsi="Verdana"/>
                <w:b/>
                <w:bCs/>
              </w:rPr>
              <w:t>Fecha Avalúo</w:t>
            </w:r>
          </w:p>
        </w:tc>
      </w:tr>
      <w:tr w:rsidR="00E92890" w:rsidRPr="00E92890" w14:paraId="249DE198"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2138952B" w14:textId="77777777" w:rsidR="00E92890" w:rsidRPr="00E92890" w:rsidRDefault="00E92890" w:rsidP="00E92890">
            <w:pPr>
              <w:jc w:val="both"/>
              <w:rPr>
                <w:rFonts w:ascii="Verdana" w:hAnsi="Verdana"/>
              </w:rPr>
            </w:pPr>
            <w:r w:rsidRPr="00E92890">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12BF687E" w14:textId="77777777" w:rsidR="00E92890" w:rsidRPr="00E92890" w:rsidRDefault="00E92890" w:rsidP="00E92890">
            <w:pPr>
              <w:jc w:val="both"/>
              <w:rPr>
                <w:rFonts w:ascii="Verdana" w:hAnsi="Verdana"/>
              </w:rPr>
            </w:pPr>
            <w:r w:rsidRPr="00E92890">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4186364" w14:textId="77777777" w:rsidR="00E92890" w:rsidRPr="00E92890" w:rsidRDefault="00E92890" w:rsidP="00E92890">
            <w:pPr>
              <w:jc w:val="both"/>
              <w:rPr>
                <w:rFonts w:ascii="Verdana" w:hAnsi="Verdana"/>
              </w:rPr>
            </w:pPr>
            <w:r w:rsidRPr="00E92890">
              <w:rPr>
                <w:rFonts w:ascii="Verdana" w:hAnsi="Verdana"/>
              </w:rPr>
              <w:t>Bogotá D.C.</w:t>
            </w:r>
          </w:p>
        </w:tc>
        <w:tc>
          <w:tcPr>
            <w:tcW w:w="800" w:type="pct"/>
            <w:tcBorders>
              <w:top w:val="nil"/>
              <w:left w:val="nil"/>
              <w:bottom w:val="nil"/>
              <w:right w:val="nil"/>
            </w:tcBorders>
            <w:tcMar>
              <w:top w:w="0" w:type="dxa"/>
              <w:left w:w="0" w:type="dxa"/>
              <w:bottom w:w="0" w:type="dxa"/>
              <w:right w:w="0" w:type="dxa"/>
            </w:tcMar>
            <w:hideMark/>
          </w:tcPr>
          <w:p w14:paraId="46A9E751" w14:textId="77777777" w:rsidR="00E92890" w:rsidRPr="00E92890" w:rsidRDefault="00E92890" w:rsidP="00E92890">
            <w:pPr>
              <w:jc w:val="both"/>
              <w:rPr>
                <w:rFonts w:ascii="Verdana" w:hAnsi="Verdana"/>
              </w:rPr>
            </w:pPr>
            <w:r w:rsidRPr="00E92890">
              <w:rPr>
                <w:rFonts w:ascii="Verdana" w:hAnsi="Verdana"/>
              </w:rPr>
              <w:t xml:space="preserve">KR 72A </w:t>
            </w:r>
            <w:proofErr w:type="spellStart"/>
            <w:r w:rsidRPr="00E92890">
              <w:rPr>
                <w:rFonts w:ascii="Verdana" w:hAnsi="Verdana"/>
              </w:rPr>
              <w:t>N°</w:t>
            </w:r>
            <w:proofErr w:type="spellEnd"/>
            <w:r w:rsidRPr="00E92890">
              <w:rPr>
                <w:rFonts w:ascii="Verdana" w:hAnsi="Verdana"/>
              </w:rPr>
              <w:t xml:space="preserve"> 70-38</w:t>
            </w:r>
          </w:p>
        </w:tc>
        <w:tc>
          <w:tcPr>
            <w:tcW w:w="550" w:type="pct"/>
            <w:tcBorders>
              <w:top w:val="nil"/>
              <w:left w:val="nil"/>
              <w:bottom w:val="nil"/>
              <w:right w:val="nil"/>
            </w:tcBorders>
            <w:tcMar>
              <w:top w:w="0" w:type="dxa"/>
              <w:left w:w="0" w:type="dxa"/>
              <w:bottom w:w="0" w:type="dxa"/>
              <w:right w:w="0" w:type="dxa"/>
            </w:tcMar>
            <w:hideMark/>
          </w:tcPr>
          <w:p w14:paraId="7F1BEF28" w14:textId="77777777" w:rsidR="00E92890" w:rsidRPr="00E92890" w:rsidRDefault="00E92890" w:rsidP="00E92890">
            <w:pPr>
              <w:jc w:val="both"/>
              <w:rPr>
                <w:rFonts w:ascii="Verdana" w:hAnsi="Verdana"/>
              </w:rPr>
            </w:pPr>
            <w:r w:rsidRPr="00E92890">
              <w:rPr>
                <w:rFonts w:ascii="Verdana" w:hAnsi="Verdana"/>
              </w:rPr>
              <w:t>Lote con Construcción</w:t>
            </w:r>
          </w:p>
        </w:tc>
        <w:tc>
          <w:tcPr>
            <w:tcW w:w="800" w:type="pct"/>
            <w:tcBorders>
              <w:top w:val="nil"/>
              <w:left w:val="nil"/>
              <w:bottom w:val="nil"/>
              <w:right w:val="nil"/>
            </w:tcBorders>
            <w:tcMar>
              <w:top w:w="0" w:type="dxa"/>
              <w:left w:w="0" w:type="dxa"/>
              <w:bottom w:w="0" w:type="dxa"/>
              <w:right w:w="0" w:type="dxa"/>
            </w:tcMar>
            <w:hideMark/>
          </w:tcPr>
          <w:p w14:paraId="6DB2BE79" w14:textId="77777777" w:rsidR="00E92890" w:rsidRPr="00E92890" w:rsidRDefault="00E92890" w:rsidP="00E92890">
            <w:pPr>
              <w:jc w:val="both"/>
              <w:rPr>
                <w:rFonts w:ascii="Verdana" w:hAnsi="Verdana"/>
              </w:rPr>
            </w:pPr>
            <w:r w:rsidRPr="00E92890">
              <w:rPr>
                <w:rFonts w:ascii="Verdana" w:hAnsi="Verdana"/>
              </w:rPr>
              <w:t>50C-788527</w:t>
            </w:r>
          </w:p>
        </w:tc>
        <w:tc>
          <w:tcPr>
            <w:tcW w:w="450" w:type="pct"/>
            <w:tcBorders>
              <w:top w:val="nil"/>
              <w:left w:val="nil"/>
              <w:bottom w:val="nil"/>
              <w:right w:val="nil"/>
            </w:tcBorders>
            <w:tcMar>
              <w:top w:w="0" w:type="dxa"/>
              <w:left w:w="0" w:type="dxa"/>
              <w:bottom w:w="0" w:type="dxa"/>
              <w:right w:w="0" w:type="dxa"/>
            </w:tcMar>
            <w:hideMark/>
          </w:tcPr>
          <w:p w14:paraId="7D422C5A" w14:textId="77777777" w:rsidR="00E92890" w:rsidRPr="00E92890" w:rsidRDefault="00E92890" w:rsidP="00E92890">
            <w:pPr>
              <w:jc w:val="both"/>
              <w:rPr>
                <w:rFonts w:ascii="Verdana" w:hAnsi="Verdana"/>
              </w:rPr>
            </w:pPr>
            <w:r w:rsidRPr="00E92890">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6EAC7766" w14:textId="77777777" w:rsidR="00E92890" w:rsidRPr="00E92890" w:rsidRDefault="00E92890" w:rsidP="00E92890">
            <w:pPr>
              <w:jc w:val="both"/>
              <w:rPr>
                <w:rFonts w:ascii="Verdana" w:hAnsi="Verdana"/>
              </w:rPr>
            </w:pPr>
            <w:r w:rsidRPr="00E92890">
              <w:rPr>
                <w:rFonts w:ascii="Verdana" w:hAnsi="Verdana"/>
              </w:rPr>
              <w:t>$142.026.000</w:t>
            </w:r>
          </w:p>
        </w:tc>
        <w:tc>
          <w:tcPr>
            <w:tcW w:w="450" w:type="pct"/>
            <w:tcBorders>
              <w:top w:val="nil"/>
              <w:left w:val="nil"/>
              <w:bottom w:val="nil"/>
              <w:right w:val="nil"/>
            </w:tcBorders>
            <w:tcMar>
              <w:top w:w="0" w:type="dxa"/>
              <w:left w:w="0" w:type="dxa"/>
              <w:bottom w:w="0" w:type="dxa"/>
              <w:right w:w="0" w:type="dxa"/>
            </w:tcMar>
            <w:hideMark/>
          </w:tcPr>
          <w:p w14:paraId="696D63E3" w14:textId="77777777" w:rsidR="00E92890" w:rsidRPr="00E92890" w:rsidRDefault="00E92890" w:rsidP="00E92890">
            <w:pPr>
              <w:jc w:val="both"/>
              <w:rPr>
                <w:rFonts w:ascii="Verdana" w:hAnsi="Verdana"/>
              </w:rPr>
            </w:pPr>
            <w:r w:rsidRPr="00E92890">
              <w:rPr>
                <w:rFonts w:ascii="Verdana" w:hAnsi="Verdana"/>
              </w:rPr>
              <w:t>22/04/2010</w:t>
            </w:r>
          </w:p>
        </w:tc>
      </w:tr>
      <w:tr w:rsidR="00E92890" w:rsidRPr="00E92890" w14:paraId="007419BF" w14:textId="77777777" w:rsidTr="00E92890">
        <w:trPr>
          <w:tblCellSpacing w:w="15" w:type="dxa"/>
        </w:trPr>
        <w:tc>
          <w:tcPr>
            <w:tcW w:w="250" w:type="pct"/>
            <w:tcBorders>
              <w:top w:val="nil"/>
              <w:left w:val="nil"/>
              <w:bottom w:val="nil"/>
              <w:right w:val="nil"/>
            </w:tcBorders>
            <w:tcMar>
              <w:top w:w="0" w:type="dxa"/>
              <w:left w:w="0" w:type="dxa"/>
              <w:bottom w:w="0" w:type="dxa"/>
              <w:right w:w="0" w:type="dxa"/>
            </w:tcMar>
            <w:hideMark/>
          </w:tcPr>
          <w:p w14:paraId="57E44DCC" w14:textId="77777777" w:rsidR="00E92890" w:rsidRPr="00E92890" w:rsidRDefault="00E92890" w:rsidP="00E92890">
            <w:pPr>
              <w:jc w:val="both"/>
              <w:rPr>
                <w:rFonts w:ascii="Verdana" w:hAnsi="Verdana"/>
              </w:rPr>
            </w:pPr>
            <w:r w:rsidRPr="00E92890">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6C89732F" w14:textId="77777777" w:rsidR="00E92890" w:rsidRPr="00E92890" w:rsidRDefault="00E92890" w:rsidP="00E92890">
            <w:pPr>
              <w:jc w:val="both"/>
              <w:rPr>
                <w:rFonts w:ascii="Verdana" w:hAnsi="Verdana"/>
              </w:rPr>
            </w:pPr>
            <w:r w:rsidRPr="00E92890">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7014B760" w14:textId="77777777" w:rsidR="00E92890" w:rsidRPr="00E92890" w:rsidRDefault="00E92890" w:rsidP="00E92890">
            <w:pPr>
              <w:jc w:val="both"/>
              <w:rPr>
                <w:rFonts w:ascii="Verdana" w:hAnsi="Verdana"/>
              </w:rPr>
            </w:pPr>
            <w:r w:rsidRPr="00E92890">
              <w:rPr>
                <w:rFonts w:ascii="Verdana" w:hAnsi="Verdana"/>
              </w:rPr>
              <w:t>Bogotá D.C.</w:t>
            </w:r>
          </w:p>
        </w:tc>
        <w:tc>
          <w:tcPr>
            <w:tcW w:w="800" w:type="pct"/>
            <w:tcBorders>
              <w:top w:val="nil"/>
              <w:left w:val="nil"/>
              <w:bottom w:val="nil"/>
              <w:right w:val="nil"/>
            </w:tcBorders>
            <w:tcMar>
              <w:top w:w="0" w:type="dxa"/>
              <w:left w:w="0" w:type="dxa"/>
              <w:bottom w:w="0" w:type="dxa"/>
              <w:right w:w="0" w:type="dxa"/>
            </w:tcMar>
            <w:hideMark/>
          </w:tcPr>
          <w:p w14:paraId="65CBCDE4" w14:textId="77777777" w:rsidR="00E92890" w:rsidRPr="00E92890" w:rsidRDefault="00E92890" w:rsidP="00E92890">
            <w:pPr>
              <w:jc w:val="both"/>
              <w:rPr>
                <w:rFonts w:ascii="Verdana" w:hAnsi="Verdana"/>
              </w:rPr>
            </w:pPr>
            <w:r w:rsidRPr="00E92890">
              <w:rPr>
                <w:rFonts w:ascii="Verdana" w:hAnsi="Verdana"/>
              </w:rPr>
              <w:t xml:space="preserve">KR 39 B </w:t>
            </w:r>
            <w:proofErr w:type="spellStart"/>
            <w:r w:rsidRPr="00E92890">
              <w:rPr>
                <w:rFonts w:ascii="Verdana" w:hAnsi="Verdana"/>
              </w:rPr>
              <w:t>N°</w:t>
            </w:r>
            <w:proofErr w:type="spellEnd"/>
            <w:r w:rsidRPr="00E92890">
              <w:rPr>
                <w:rFonts w:ascii="Verdana" w:hAnsi="Verdana"/>
              </w:rPr>
              <w:t xml:space="preserve"> 2B-58</w:t>
            </w:r>
          </w:p>
        </w:tc>
        <w:tc>
          <w:tcPr>
            <w:tcW w:w="550" w:type="pct"/>
            <w:tcBorders>
              <w:top w:val="nil"/>
              <w:left w:val="nil"/>
              <w:bottom w:val="nil"/>
              <w:right w:val="nil"/>
            </w:tcBorders>
            <w:tcMar>
              <w:top w:w="0" w:type="dxa"/>
              <w:left w:w="0" w:type="dxa"/>
              <w:bottom w:w="0" w:type="dxa"/>
              <w:right w:w="0" w:type="dxa"/>
            </w:tcMar>
            <w:hideMark/>
          </w:tcPr>
          <w:p w14:paraId="56A692F2" w14:textId="77777777" w:rsidR="00E92890" w:rsidRPr="00E92890" w:rsidRDefault="00E92890" w:rsidP="00E92890">
            <w:pPr>
              <w:jc w:val="both"/>
              <w:rPr>
                <w:rFonts w:ascii="Verdana" w:hAnsi="Verdana"/>
              </w:rPr>
            </w:pPr>
            <w:r w:rsidRPr="00E92890">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4F603610" w14:textId="77777777" w:rsidR="00E92890" w:rsidRPr="00E92890" w:rsidRDefault="00E92890" w:rsidP="00E92890">
            <w:pPr>
              <w:jc w:val="both"/>
              <w:rPr>
                <w:rFonts w:ascii="Verdana" w:hAnsi="Verdana"/>
              </w:rPr>
            </w:pPr>
            <w:r w:rsidRPr="00E92890">
              <w:rPr>
                <w:rFonts w:ascii="Verdana" w:hAnsi="Verdana"/>
              </w:rPr>
              <w:t>50C-1413067</w:t>
            </w:r>
          </w:p>
        </w:tc>
        <w:tc>
          <w:tcPr>
            <w:tcW w:w="450" w:type="pct"/>
            <w:tcBorders>
              <w:top w:val="nil"/>
              <w:left w:val="nil"/>
              <w:bottom w:val="nil"/>
              <w:right w:val="nil"/>
            </w:tcBorders>
            <w:tcMar>
              <w:top w:w="0" w:type="dxa"/>
              <w:left w:w="0" w:type="dxa"/>
              <w:bottom w:w="0" w:type="dxa"/>
              <w:right w:w="0" w:type="dxa"/>
            </w:tcMar>
            <w:hideMark/>
          </w:tcPr>
          <w:p w14:paraId="3906F016" w14:textId="77777777" w:rsidR="00E92890" w:rsidRPr="00E92890" w:rsidRDefault="00E92890" w:rsidP="00E92890">
            <w:pPr>
              <w:jc w:val="both"/>
              <w:rPr>
                <w:rFonts w:ascii="Verdana" w:hAnsi="Verdana"/>
              </w:rPr>
            </w:pPr>
            <w:r w:rsidRPr="00E92890">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5A354186" w14:textId="77777777" w:rsidR="00E92890" w:rsidRPr="00E92890" w:rsidRDefault="00E92890" w:rsidP="00E92890">
            <w:pPr>
              <w:jc w:val="both"/>
              <w:rPr>
                <w:rFonts w:ascii="Verdana" w:hAnsi="Verdana"/>
              </w:rPr>
            </w:pPr>
            <w:r w:rsidRPr="00E92890">
              <w:rPr>
                <w:rFonts w:ascii="Verdana" w:hAnsi="Verdana"/>
              </w:rPr>
              <w:t>$72.606.900</w:t>
            </w:r>
          </w:p>
        </w:tc>
        <w:tc>
          <w:tcPr>
            <w:tcW w:w="450" w:type="pct"/>
            <w:tcBorders>
              <w:top w:val="nil"/>
              <w:left w:val="nil"/>
              <w:bottom w:val="nil"/>
              <w:right w:val="nil"/>
            </w:tcBorders>
            <w:tcMar>
              <w:top w:w="0" w:type="dxa"/>
              <w:left w:w="0" w:type="dxa"/>
              <w:bottom w:w="0" w:type="dxa"/>
              <w:right w:w="0" w:type="dxa"/>
            </w:tcMar>
            <w:hideMark/>
          </w:tcPr>
          <w:p w14:paraId="481FA119" w14:textId="77777777" w:rsidR="00E92890" w:rsidRPr="00E92890" w:rsidRDefault="00E92890" w:rsidP="00E92890">
            <w:pPr>
              <w:jc w:val="both"/>
              <w:rPr>
                <w:rFonts w:ascii="Verdana" w:hAnsi="Verdana"/>
              </w:rPr>
            </w:pPr>
            <w:r w:rsidRPr="00E92890">
              <w:rPr>
                <w:rFonts w:ascii="Verdana" w:hAnsi="Verdana"/>
              </w:rPr>
              <w:t>01/09/2010</w:t>
            </w:r>
          </w:p>
        </w:tc>
      </w:tr>
    </w:tbl>
    <w:p w14:paraId="010C69D1" w14:textId="77777777" w:rsidR="00E92890" w:rsidRPr="00E92890" w:rsidRDefault="00E92890" w:rsidP="00E92890">
      <w:pPr>
        <w:jc w:val="both"/>
        <w:rPr>
          <w:rFonts w:ascii="Verdana" w:hAnsi="Verdana"/>
        </w:rPr>
      </w:pPr>
      <w:bookmarkStart w:id="2" w:name="2"/>
      <w:r w:rsidRPr="00E92890">
        <w:rPr>
          <w:rFonts w:ascii="Verdana" w:hAnsi="Verdana"/>
          <w:b/>
          <w:bCs/>
        </w:rPr>
        <w:t>ARTÍCULO SEGUNDO.</w:t>
      </w:r>
      <w:bookmarkEnd w:id="2"/>
      <w:r w:rsidRPr="00E92890">
        <w:rPr>
          <w:rFonts w:ascii="Verdana" w:hAnsi="Verdana"/>
        </w:rPr>
        <w:t> La presente Resolución rige a partir de la fecha de su publicación.</w:t>
      </w:r>
    </w:p>
    <w:p w14:paraId="54441798" w14:textId="77777777" w:rsidR="00E92890" w:rsidRPr="00E92890" w:rsidRDefault="00E92890" w:rsidP="00E92890">
      <w:pPr>
        <w:jc w:val="center"/>
        <w:rPr>
          <w:rFonts w:ascii="Verdana" w:hAnsi="Verdana"/>
        </w:rPr>
      </w:pPr>
      <w:r w:rsidRPr="00E92890">
        <w:rPr>
          <w:rFonts w:ascii="Verdana" w:hAnsi="Verdana"/>
        </w:rPr>
        <w:t>PUBLÍQUESE Y CUMPLASE</w:t>
      </w:r>
    </w:p>
    <w:p w14:paraId="534A0F0D" w14:textId="77BC1D9D" w:rsidR="00E92890" w:rsidRPr="00E92890" w:rsidRDefault="00E92890" w:rsidP="00E92890">
      <w:pPr>
        <w:jc w:val="center"/>
        <w:rPr>
          <w:rFonts w:ascii="Verdana" w:hAnsi="Verdana"/>
        </w:rPr>
      </w:pPr>
      <w:r w:rsidRPr="00E92890">
        <w:rPr>
          <w:rFonts w:ascii="Verdana" w:hAnsi="Verdana"/>
        </w:rPr>
        <w:t xml:space="preserve">Dada en Bogotá, D. C., </w:t>
      </w:r>
      <w:proofErr w:type="gramStart"/>
      <w:r w:rsidRPr="00E92890">
        <w:rPr>
          <w:rFonts w:ascii="Verdana" w:hAnsi="Verdana"/>
        </w:rPr>
        <w:t>a los</w:t>
      </w:r>
      <w:r w:rsidR="00B94873" w:rsidRPr="00B94873">
        <w:rPr>
          <w:rFonts w:ascii="Verdana" w:hAnsi="Verdana"/>
        </w:rPr>
        <w:t xml:space="preserve"> 23 de marzo de 2011</w:t>
      </w:r>
      <w:proofErr w:type="gramEnd"/>
    </w:p>
    <w:p w14:paraId="5B30355F" w14:textId="77777777" w:rsidR="00E92890" w:rsidRPr="00E92890" w:rsidRDefault="00E92890" w:rsidP="00E92890">
      <w:pPr>
        <w:jc w:val="center"/>
        <w:rPr>
          <w:rFonts w:ascii="Verdana" w:hAnsi="Verdana"/>
        </w:rPr>
      </w:pPr>
      <w:r w:rsidRPr="00E92890">
        <w:rPr>
          <w:rFonts w:ascii="Verdana" w:hAnsi="Verdana"/>
          <w:b/>
          <w:bCs/>
        </w:rPr>
        <w:t>ELVIRA FORERO HERNANDEZ</w:t>
      </w:r>
    </w:p>
    <w:p w14:paraId="637C5A92" w14:textId="77777777" w:rsidR="00E92890" w:rsidRPr="00E92890" w:rsidRDefault="00E92890" w:rsidP="00E92890">
      <w:pPr>
        <w:jc w:val="center"/>
        <w:rPr>
          <w:rFonts w:ascii="Verdana" w:hAnsi="Verdana"/>
        </w:rPr>
      </w:pPr>
      <w:r w:rsidRPr="00E92890">
        <w:rPr>
          <w:rFonts w:ascii="Verdana" w:hAnsi="Verdana"/>
        </w:rPr>
        <w:t>Directora General</w:t>
      </w:r>
    </w:p>
    <w:p w14:paraId="34AB83CF" w14:textId="77777777" w:rsidR="00E92890" w:rsidRPr="00E92890" w:rsidRDefault="00E92890" w:rsidP="00E92890">
      <w:pPr>
        <w:jc w:val="center"/>
        <w:rPr>
          <w:rFonts w:ascii="Verdana" w:hAnsi="Verdana"/>
        </w:rPr>
      </w:pPr>
      <w:r w:rsidRPr="00E92890">
        <w:rPr>
          <w:rFonts w:ascii="Verdana" w:hAnsi="Verdana"/>
        </w:rPr>
        <w:t>* * *</w:t>
      </w:r>
    </w:p>
    <w:p w14:paraId="32EC5DD6" w14:textId="298613E5" w:rsidR="00E92890" w:rsidRPr="00E92890" w:rsidRDefault="00E92890" w:rsidP="00E92890">
      <w:pPr>
        <w:jc w:val="both"/>
        <w:rPr>
          <w:rFonts w:ascii="Verdana" w:hAnsi="Verdana"/>
        </w:rPr>
      </w:pPr>
      <w:r w:rsidRPr="00E92890">
        <w:rPr>
          <w:rFonts w:ascii="Verdana" w:hAnsi="Verdana"/>
        </w:rPr>
        <w:t>1. ARTÍCULO 33.</w:t>
      </w:r>
      <w:r w:rsidRPr="00E92890">
        <w:rPr>
          <w:rFonts w:ascii="Verdana" w:hAnsi="Verdana"/>
          <w:i/>
          <w:iCs/>
        </w:rPr>
        <w:t xml:space="preserve"> Todas las entidades públicas que hayan adquirido inmuebles a cualquier </w:t>
      </w:r>
      <w:proofErr w:type="spellStart"/>
      <w:r w:rsidRPr="00E92890">
        <w:rPr>
          <w:rFonts w:ascii="Verdana" w:hAnsi="Verdana"/>
          <w:i/>
          <w:iCs/>
        </w:rPr>
        <w:t>titulo</w:t>
      </w:r>
      <w:proofErr w:type="spellEnd"/>
      <w:r w:rsidRPr="00E92890">
        <w:rPr>
          <w:rFonts w:ascii="Verdana" w:hAnsi="Verdana"/>
          <w:i/>
          <w:iCs/>
        </w:rPr>
        <w:t xml:space="preserve"> o que los adquieran en lo sucesivo, también a cualquier título, deberán aplicarlos a los fines para los cuales fueron adquiridos. En el acto de adquisición se incluirá en forma expresa el fin para el cual fueron adquiridos los (2,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p w14:paraId="5C6C3742" w14:textId="77777777" w:rsidR="00577B7B" w:rsidRPr="00E92890" w:rsidRDefault="00577B7B" w:rsidP="00E92890">
      <w:pPr>
        <w:jc w:val="center"/>
        <w:rPr>
          <w:rFonts w:ascii="Verdana" w:hAnsi="Verdana"/>
        </w:rPr>
      </w:pPr>
    </w:p>
    <w:sectPr w:rsidR="00577B7B" w:rsidRPr="00E928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FA"/>
    <w:rsid w:val="00577B7B"/>
    <w:rsid w:val="009050FA"/>
    <w:rsid w:val="00B94873"/>
    <w:rsid w:val="00BE1DF1"/>
    <w:rsid w:val="00E92890"/>
    <w:rsid w:val="00F44A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90D3"/>
  <w15:chartTrackingRefBased/>
  <w15:docId w15:val="{0F6B876B-26FA-4E3C-BA02-DEAE7150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9289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E92890"/>
    <w:rPr>
      <w:color w:val="0563C1" w:themeColor="hyperlink"/>
      <w:u w:val="single"/>
    </w:rPr>
  </w:style>
  <w:style w:type="character" w:styleId="Mencinsinresolver">
    <w:name w:val="Unresolved Mention"/>
    <w:basedOn w:val="Fuentedeprrafopredeter"/>
    <w:uiPriority w:val="99"/>
    <w:semiHidden/>
    <w:unhideWhenUsed/>
    <w:rsid w:val="00E9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2613">
      <w:bodyDiv w:val="1"/>
      <w:marLeft w:val="0"/>
      <w:marRight w:val="0"/>
      <w:marTop w:val="0"/>
      <w:marBottom w:val="0"/>
      <w:divBdr>
        <w:top w:val="none" w:sz="0" w:space="0" w:color="auto"/>
        <w:left w:val="none" w:sz="0" w:space="0" w:color="auto"/>
        <w:bottom w:val="none" w:sz="0" w:space="0" w:color="auto"/>
        <w:right w:val="none" w:sz="0" w:space="0" w:color="auto"/>
      </w:divBdr>
    </w:div>
    <w:div w:id="358943567">
      <w:bodyDiv w:val="1"/>
      <w:marLeft w:val="0"/>
      <w:marRight w:val="0"/>
      <w:marTop w:val="0"/>
      <w:marBottom w:val="0"/>
      <w:divBdr>
        <w:top w:val="none" w:sz="0" w:space="0" w:color="auto"/>
        <w:left w:val="none" w:sz="0" w:space="0" w:color="auto"/>
        <w:bottom w:val="none" w:sz="0" w:space="0" w:color="auto"/>
        <w:right w:val="none" w:sz="0" w:space="0" w:color="auto"/>
      </w:divBdr>
    </w:div>
    <w:div w:id="660473529">
      <w:bodyDiv w:val="1"/>
      <w:marLeft w:val="0"/>
      <w:marRight w:val="0"/>
      <w:marTop w:val="0"/>
      <w:marBottom w:val="0"/>
      <w:divBdr>
        <w:top w:val="none" w:sz="0" w:space="0" w:color="auto"/>
        <w:left w:val="none" w:sz="0" w:space="0" w:color="auto"/>
        <w:bottom w:val="none" w:sz="0" w:space="0" w:color="auto"/>
        <w:right w:val="none" w:sz="0" w:space="0" w:color="auto"/>
      </w:divBdr>
    </w:div>
    <w:div w:id="913900563">
      <w:bodyDiv w:val="1"/>
      <w:marLeft w:val="0"/>
      <w:marRight w:val="0"/>
      <w:marTop w:val="0"/>
      <w:marBottom w:val="0"/>
      <w:divBdr>
        <w:top w:val="none" w:sz="0" w:space="0" w:color="auto"/>
        <w:left w:val="none" w:sz="0" w:space="0" w:color="auto"/>
        <w:bottom w:val="none" w:sz="0" w:space="0" w:color="auto"/>
        <w:right w:val="none" w:sz="0" w:space="0" w:color="auto"/>
      </w:divBdr>
    </w:div>
    <w:div w:id="1149640189">
      <w:bodyDiv w:val="1"/>
      <w:marLeft w:val="0"/>
      <w:marRight w:val="0"/>
      <w:marTop w:val="0"/>
      <w:marBottom w:val="0"/>
      <w:divBdr>
        <w:top w:val="none" w:sz="0" w:space="0" w:color="auto"/>
        <w:left w:val="none" w:sz="0" w:space="0" w:color="auto"/>
        <w:bottom w:val="none" w:sz="0" w:space="0" w:color="auto"/>
        <w:right w:val="none" w:sz="0" w:space="0" w:color="auto"/>
      </w:divBdr>
    </w:div>
    <w:div w:id="1446540025">
      <w:bodyDiv w:val="1"/>
      <w:marLeft w:val="0"/>
      <w:marRight w:val="0"/>
      <w:marTop w:val="0"/>
      <w:marBottom w:val="0"/>
      <w:divBdr>
        <w:top w:val="none" w:sz="0" w:space="0" w:color="auto"/>
        <w:left w:val="none" w:sz="0" w:space="0" w:color="auto"/>
        <w:bottom w:val="none" w:sz="0" w:space="0" w:color="auto"/>
        <w:right w:val="none" w:sz="0" w:space="0" w:color="auto"/>
      </w:divBdr>
    </w:div>
    <w:div w:id="1595045989">
      <w:bodyDiv w:val="1"/>
      <w:marLeft w:val="0"/>
      <w:marRight w:val="0"/>
      <w:marTop w:val="0"/>
      <w:marBottom w:val="0"/>
      <w:divBdr>
        <w:top w:val="none" w:sz="0" w:space="0" w:color="auto"/>
        <w:left w:val="none" w:sz="0" w:space="0" w:color="auto"/>
        <w:bottom w:val="none" w:sz="0" w:space="0" w:color="auto"/>
        <w:right w:val="none" w:sz="0" w:space="0" w:color="auto"/>
      </w:divBdr>
    </w:div>
    <w:div w:id="1638022757">
      <w:bodyDiv w:val="1"/>
      <w:marLeft w:val="0"/>
      <w:marRight w:val="0"/>
      <w:marTop w:val="0"/>
      <w:marBottom w:val="0"/>
      <w:divBdr>
        <w:top w:val="none" w:sz="0" w:space="0" w:color="auto"/>
        <w:left w:val="none" w:sz="0" w:space="0" w:color="auto"/>
        <w:bottom w:val="none" w:sz="0" w:space="0" w:color="auto"/>
        <w:right w:val="none" w:sz="0" w:space="0" w:color="auto"/>
      </w:divBdr>
    </w:div>
    <w:div w:id="1707103257">
      <w:bodyDiv w:val="1"/>
      <w:marLeft w:val="0"/>
      <w:marRight w:val="0"/>
      <w:marTop w:val="0"/>
      <w:marBottom w:val="0"/>
      <w:divBdr>
        <w:top w:val="none" w:sz="0" w:space="0" w:color="auto"/>
        <w:left w:val="none" w:sz="0" w:space="0" w:color="auto"/>
        <w:bottom w:val="none" w:sz="0" w:space="0" w:color="auto"/>
        <w:right w:val="none" w:sz="0" w:space="0" w:color="auto"/>
      </w:divBdr>
    </w:div>
    <w:div w:id="1913469393">
      <w:bodyDiv w:val="1"/>
      <w:marLeft w:val="0"/>
      <w:marRight w:val="0"/>
      <w:marTop w:val="0"/>
      <w:marBottom w:val="0"/>
      <w:divBdr>
        <w:top w:val="none" w:sz="0" w:space="0" w:color="auto"/>
        <w:left w:val="none" w:sz="0" w:space="0" w:color="auto"/>
        <w:bottom w:val="none" w:sz="0" w:space="0" w:color="auto"/>
        <w:right w:val="none" w:sz="0" w:space="0" w:color="auto"/>
      </w:divBdr>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
    <w:div w:id="2107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B4028-E83D-4A7A-95B4-45528A9F2BC2}"/>
</file>

<file path=customXml/itemProps2.xml><?xml version="1.0" encoding="utf-8"?>
<ds:datastoreItem xmlns:ds="http://schemas.openxmlformats.org/officeDocument/2006/customXml" ds:itemID="{435780BE-0AFF-4371-807F-CDD180EF0C22}"/>
</file>

<file path=customXml/itemProps3.xml><?xml version="1.0" encoding="utf-8"?>
<ds:datastoreItem xmlns:ds="http://schemas.openxmlformats.org/officeDocument/2006/customXml" ds:itemID="{F6B8ABBE-756D-4B69-BDCD-7618565B94B4}"/>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4382</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2026-01-27T15:12:00Z</dcterms:created>
  <dcterms:modified xsi:type="dcterms:W3CDTF">2026-01-27T15:12:00Z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