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D08E" w14:textId="1143BFF4" w:rsidR="000B4793" w:rsidRDefault="00D477DE" w:rsidP="00D477DE">
      <w:pPr>
        <w:jc w:val="center"/>
        <w:rPr>
          <w:rFonts w:ascii="Verdana" w:hAnsi="Verdana"/>
          <w:b/>
          <w:bCs/>
        </w:rPr>
      </w:pPr>
      <w:r w:rsidRPr="00D477DE">
        <w:rPr>
          <w:rFonts w:ascii="Verdana" w:hAnsi="Verdana"/>
          <w:b/>
          <w:bCs/>
        </w:rPr>
        <w:t>RESOLUCIÓN 0001 DE 2025</w:t>
      </w:r>
    </w:p>
    <w:p w14:paraId="6D4BD240" w14:textId="40AD9275" w:rsidR="00D477DE" w:rsidRPr="00D477DE" w:rsidRDefault="00D477DE" w:rsidP="002C5F6B">
      <w:pPr>
        <w:pStyle w:val="Sinespaciado"/>
      </w:pPr>
      <w:r w:rsidRPr="00D477DE">
        <w:t xml:space="preserve">Fecha de Expedición: </w:t>
      </w:r>
      <w:r w:rsidR="00497385">
        <w:t>2</w:t>
      </w:r>
      <w:r w:rsidR="00497385" w:rsidRPr="00D477DE">
        <w:t xml:space="preserve"> de </w:t>
      </w:r>
      <w:r w:rsidR="00497385">
        <w:t>enero</w:t>
      </w:r>
      <w:r w:rsidR="00497385" w:rsidRPr="00D477DE">
        <w:t xml:space="preserve"> de 202</w:t>
      </w:r>
      <w:r w:rsidR="00497385">
        <w:t>5</w:t>
      </w:r>
    </w:p>
    <w:p w14:paraId="10CDD7B7" w14:textId="13C7F70E" w:rsidR="00D477DE" w:rsidRPr="00D477DE" w:rsidRDefault="00D477DE" w:rsidP="002C5F6B">
      <w:pPr>
        <w:pStyle w:val="Sinespaciado"/>
      </w:pPr>
      <w:r w:rsidRPr="00D477DE">
        <w:t xml:space="preserve">Fecha de </w:t>
      </w:r>
      <w:proofErr w:type="gramStart"/>
      <w:r w:rsidRPr="00D477DE">
        <w:t>entrada en vigencia</w:t>
      </w:r>
      <w:proofErr w:type="gramEnd"/>
      <w:r w:rsidRPr="00D477DE">
        <w:t xml:space="preserve">: </w:t>
      </w:r>
      <w:r w:rsidR="00497385">
        <w:t>02</w:t>
      </w:r>
      <w:r w:rsidRPr="00D477DE">
        <w:t xml:space="preserve"> de </w:t>
      </w:r>
      <w:r w:rsidR="00497385">
        <w:t>enero</w:t>
      </w:r>
      <w:r w:rsidRPr="00D477DE">
        <w:t xml:space="preserve"> de 202</w:t>
      </w:r>
      <w:r w:rsidR="00497385">
        <w:t>5</w:t>
      </w:r>
    </w:p>
    <w:p w14:paraId="43D941B3" w14:textId="018A51FA" w:rsidR="00D477DE" w:rsidRPr="00D477DE" w:rsidRDefault="00D477DE" w:rsidP="002C5F6B">
      <w:pPr>
        <w:pStyle w:val="Sinespaciado"/>
      </w:pPr>
      <w:r w:rsidRPr="00D477DE">
        <w:t xml:space="preserve">Estado de la vigencia: </w:t>
      </w:r>
      <w:r w:rsidR="00C6121A">
        <w:t>Vigente</w:t>
      </w:r>
    </w:p>
    <w:p w14:paraId="00BA4F0A" w14:textId="77777777" w:rsidR="00D477DE" w:rsidRPr="00D477DE" w:rsidRDefault="00D477DE" w:rsidP="002C5F6B">
      <w:pPr>
        <w:pStyle w:val="Sinespaciado"/>
      </w:pPr>
      <w:r w:rsidRPr="00D477DE">
        <w:t xml:space="preserve"> </w:t>
      </w:r>
    </w:p>
    <w:p w14:paraId="0676F267" w14:textId="77777777" w:rsidR="00D477DE" w:rsidRPr="00D477DE" w:rsidRDefault="00D477DE" w:rsidP="002C5F6B">
      <w:pPr>
        <w:pStyle w:val="Sinespaciado"/>
      </w:pPr>
      <w:r w:rsidRPr="00D477DE">
        <w:t>Fecha de publicación en Diario Oficial: N/A</w:t>
      </w:r>
    </w:p>
    <w:p w14:paraId="6F279E46" w14:textId="1111C66D" w:rsidR="00D477DE" w:rsidRDefault="00D477DE" w:rsidP="002C5F6B">
      <w:pPr>
        <w:pStyle w:val="Sinespaciado"/>
      </w:pPr>
      <w:r w:rsidRPr="00D477DE">
        <w:t>Número del Diario Oficial: N/A</w:t>
      </w:r>
    </w:p>
    <w:p w14:paraId="5376557E" w14:textId="77777777" w:rsidR="002C5F6B" w:rsidRDefault="002C5F6B" w:rsidP="002C5F6B">
      <w:pPr>
        <w:pStyle w:val="Sinespaciado"/>
      </w:pPr>
    </w:p>
    <w:p w14:paraId="43B8366C" w14:textId="3CC5A978" w:rsidR="00C6121A" w:rsidRDefault="00C6121A" w:rsidP="002C5F6B">
      <w:pPr>
        <w:pStyle w:val="Sinespaciado"/>
      </w:pPr>
      <w:r>
        <w:t>Nota: Esta resolución fue modificada por las siguientes resoluciones:</w:t>
      </w:r>
    </w:p>
    <w:p w14:paraId="64A3AAF5" w14:textId="77777777" w:rsidR="00C6121A" w:rsidRDefault="00C6121A" w:rsidP="002C5F6B">
      <w:pPr>
        <w:pStyle w:val="Sinespaciado"/>
      </w:pPr>
      <w:r>
        <w:t>-</w:t>
      </w:r>
      <w:r w:rsidRPr="00497385">
        <w:t xml:space="preserve"> Resolución 296 De 2025 </w:t>
      </w:r>
    </w:p>
    <w:p w14:paraId="7FA0514E" w14:textId="77777777" w:rsidR="00C6121A" w:rsidRDefault="00C6121A" w:rsidP="002C5F6B">
      <w:pPr>
        <w:pStyle w:val="Sinespaciado"/>
      </w:pPr>
      <w:r>
        <w:t xml:space="preserve">- </w:t>
      </w:r>
      <w:r w:rsidRPr="00497385">
        <w:t>Resolución 988 De 2025</w:t>
      </w:r>
    </w:p>
    <w:p w14:paraId="63CE3095" w14:textId="77777777" w:rsidR="002C5F6B" w:rsidRDefault="00C6121A" w:rsidP="002C5F6B">
      <w:pPr>
        <w:pStyle w:val="Sinespaciado"/>
      </w:pPr>
      <w:r>
        <w:t xml:space="preserve">- </w:t>
      </w:r>
      <w:r w:rsidRPr="00497385">
        <w:t xml:space="preserve">Resolución 3182 De 2025 </w:t>
      </w:r>
    </w:p>
    <w:p w14:paraId="33B51795" w14:textId="77777777" w:rsidR="002C5F6B" w:rsidRDefault="002C5F6B" w:rsidP="002C5F6B">
      <w:pPr>
        <w:pStyle w:val="Sinespaciado"/>
      </w:pPr>
      <w:r>
        <w:t xml:space="preserve">- </w:t>
      </w:r>
      <w:r w:rsidR="00C6121A" w:rsidRPr="00497385">
        <w:t xml:space="preserve">Resolución 4254 De 2025 </w:t>
      </w:r>
    </w:p>
    <w:p w14:paraId="55AEA6A0" w14:textId="77777777" w:rsidR="002C5F6B" w:rsidRDefault="002C5F6B" w:rsidP="002C5F6B">
      <w:pPr>
        <w:pStyle w:val="Sinespaciado"/>
      </w:pPr>
      <w:r>
        <w:t xml:space="preserve">- </w:t>
      </w:r>
      <w:r w:rsidR="00C6121A" w:rsidRPr="00497385">
        <w:t xml:space="preserve">Resolución 5287 De 2025 </w:t>
      </w:r>
    </w:p>
    <w:p w14:paraId="425CD7D7" w14:textId="77777777" w:rsidR="002C5F6B" w:rsidRDefault="002C5F6B" w:rsidP="002C5F6B">
      <w:pPr>
        <w:pStyle w:val="Sinespaciado"/>
      </w:pPr>
      <w:r>
        <w:t xml:space="preserve">- </w:t>
      </w:r>
      <w:r w:rsidR="00C6121A" w:rsidRPr="00497385">
        <w:t xml:space="preserve">Resolución 6458 De 2025 </w:t>
      </w:r>
    </w:p>
    <w:p w14:paraId="459A9DD9" w14:textId="36CAB336" w:rsidR="00C6121A" w:rsidRDefault="002C5F6B" w:rsidP="002C5F6B">
      <w:pPr>
        <w:pStyle w:val="Sinespaciado"/>
      </w:pPr>
      <w:r>
        <w:t xml:space="preserve">- </w:t>
      </w:r>
      <w:r w:rsidR="00C6121A" w:rsidRPr="00497385">
        <w:t>Resolución 7284 De 2025</w:t>
      </w:r>
    </w:p>
    <w:p w14:paraId="3BC27AEF" w14:textId="77777777" w:rsidR="00C6121A" w:rsidRDefault="00C6121A" w:rsidP="00D477DE">
      <w:pPr>
        <w:rPr>
          <w:rFonts w:ascii="Verdana" w:hAnsi="Verdana"/>
          <w:sz w:val="20"/>
          <w:szCs w:val="20"/>
        </w:rPr>
      </w:pPr>
    </w:p>
    <w:p w14:paraId="3CD78A56" w14:textId="77777777" w:rsidR="00D477DE" w:rsidRDefault="00D477DE" w:rsidP="00D477DE">
      <w:pPr>
        <w:jc w:val="center"/>
        <w:rPr>
          <w:rFonts w:ascii="Verdana" w:hAnsi="Verdana"/>
          <w:b/>
          <w:bCs/>
        </w:rPr>
      </w:pPr>
      <w:r w:rsidRPr="00D477DE">
        <w:rPr>
          <w:rFonts w:ascii="Verdana" w:hAnsi="Verdana"/>
          <w:b/>
          <w:bCs/>
        </w:rPr>
        <w:t>RESOLUCIÓN 0001 DE 2025</w:t>
      </w:r>
    </w:p>
    <w:p w14:paraId="0982CADC" w14:textId="4B664C98" w:rsidR="008C7D37" w:rsidRPr="00275620" w:rsidRDefault="008C7D37" w:rsidP="00D477DE">
      <w:pPr>
        <w:jc w:val="center"/>
        <w:rPr>
          <w:rFonts w:ascii="Verdana" w:hAnsi="Verdana"/>
        </w:rPr>
      </w:pPr>
      <w:r w:rsidRPr="00275620">
        <w:rPr>
          <w:rFonts w:ascii="Verdana" w:hAnsi="Verdana"/>
        </w:rPr>
        <w:t>(2 de enero)</w:t>
      </w:r>
    </w:p>
    <w:p w14:paraId="71F6098A" w14:textId="5939C6FE" w:rsidR="00D477DE" w:rsidRDefault="00D477DE" w:rsidP="00D477DE">
      <w:pPr>
        <w:jc w:val="center"/>
        <w:rPr>
          <w:rFonts w:ascii="Verdana" w:hAnsi="Verdana"/>
        </w:rPr>
      </w:pPr>
      <w:r w:rsidRPr="00D477DE">
        <w:rPr>
          <w:rFonts w:ascii="Verdana" w:hAnsi="Verdana"/>
        </w:rPr>
        <w:t>"Por la cual se adoptan los Lineamientos de Programación y Ejecución de Metas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Sociales y Financieras para la Vigencia 2025 del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Instituto Colombiano de Bienestar Familiar - Cecilia De la Fuente de Lleras - ICBF"</w:t>
      </w:r>
    </w:p>
    <w:p w14:paraId="4DCBB23D" w14:textId="65A7AFE2" w:rsidR="00D477DE" w:rsidRPr="00D477DE" w:rsidRDefault="00D477DE" w:rsidP="00D477DE">
      <w:pPr>
        <w:jc w:val="center"/>
        <w:rPr>
          <w:rFonts w:ascii="Verdana" w:hAnsi="Verdana"/>
          <w:b/>
          <w:bCs/>
        </w:rPr>
      </w:pPr>
      <w:r w:rsidRPr="00D477DE">
        <w:rPr>
          <w:rFonts w:ascii="Verdana" w:hAnsi="Verdana"/>
          <w:b/>
          <w:bCs/>
        </w:rPr>
        <w:t>LA DIRECTORA GENERAL DEL INSTITUTO COLOMBIANO DE BIENESTAR FAMILIAR (ICBF) - CECILIA DE LA FUENTE DE LLERAS</w:t>
      </w:r>
    </w:p>
    <w:p w14:paraId="7AA3DED7" w14:textId="1951242A" w:rsidR="00D477DE" w:rsidRPr="00D477DE" w:rsidRDefault="00D477DE" w:rsidP="00D477DE">
      <w:pPr>
        <w:jc w:val="center"/>
        <w:rPr>
          <w:rFonts w:ascii="Verdana" w:hAnsi="Verdana"/>
        </w:rPr>
      </w:pPr>
      <w:r w:rsidRPr="00D477DE">
        <w:rPr>
          <w:rFonts w:ascii="Verdana" w:hAnsi="Verdana"/>
        </w:rPr>
        <w:t>En uso de sus facultades legales y estatutarias, en especial las que le confieren el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artículo 28 de la Ley 7 de 1979 y el artículo 78 de la Ley 489 de 1998 y,</w:t>
      </w:r>
    </w:p>
    <w:p w14:paraId="1893F137" w14:textId="58E51821" w:rsidR="00D477DE" w:rsidRDefault="00D477DE" w:rsidP="00D477DE">
      <w:pPr>
        <w:jc w:val="center"/>
        <w:rPr>
          <w:rFonts w:ascii="Verdana" w:hAnsi="Verdana"/>
          <w:b/>
          <w:bCs/>
        </w:rPr>
      </w:pPr>
      <w:r w:rsidRPr="00D477DE">
        <w:rPr>
          <w:rFonts w:ascii="Verdana" w:hAnsi="Verdana"/>
          <w:b/>
          <w:bCs/>
        </w:rPr>
        <w:t>CONSIDERANDO:</w:t>
      </w:r>
    </w:p>
    <w:p w14:paraId="729D4293" w14:textId="015DDD4D" w:rsidR="00D477DE" w:rsidRPr="00D477DE" w:rsidRDefault="00D477DE" w:rsidP="00D477DE">
      <w:pPr>
        <w:jc w:val="both"/>
        <w:rPr>
          <w:rFonts w:ascii="Verdana" w:hAnsi="Verdana"/>
        </w:rPr>
      </w:pPr>
      <w:r w:rsidRPr="00D477DE">
        <w:rPr>
          <w:rFonts w:ascii="Verdana" w:hAnsi="Verdana"/>
        </w:rPr>
        <w:t>Que el artículo 12 del Decreto 111 de 1996 define los principios del Sistema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Presupuestal, entre los cuales se encuentran: los de la planificación, la anualidad, la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universalidad, la unidad de caja, la programación integral, la especialización, inembargabilidad, la coherencia macroeconómica y la homeóstasis.</w:t>
      </w:r>
      <w:r>
        <w:rPr>
          <w:rFonts w:ascii="Verdana" w:hAnsi="Verdana"/>
        </w:rPr>
        <w:t xml:space="preserve"> </w:t>
      </w:r>
    </w:p>
    <w:p w14:paraId="646BC41A" w14:textId="059F96BF" w:rsidR="00D477DE" w:rsidRPr="00D477DE" w:rsidRDefault="00D477DE" w:rsidP="00D477DE">
      <w:pPr>
        <w:jc w:val="both"/>
        <w:rPr>
          <w:rFonts w:ascii="Verdana" w:hAnsi="Verdana"/>
        </w:rPr>
      </w:pPr>
      <w:r w:rsidRPr="00D477DE">
        <w:rPr>
          <w:rFonts w:ascii="Verdana" w:hAnsi="Verdana"/>
        </w:rPr>
        <w:t>Que conforme lo previsto en el artículo 17 del referido Decreto, "(...) Todo programa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presupuestal deberá contemplar simultáneamente los gastos de inversión y de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funcionamiento que las exigencias técnicas y administrativas demanden como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necesarios para su ejecución y operación, de conformidad con los procedimientos y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normas legales vigentes".</w:t>
      </w:r>
    </w:p>
    <w:p w14:paraId="2B03C81F" w14:textId="02502931" w:rsidR="00D477DE" w:rsidRPr="00D477DE" w:rsidRDefault="00D477DE" w:rsidP="00D477DE">
      <w:pPr>
        <w:jc w:val="both"/>
        <w:rPr>
          <w:rFonts w:ascii="Verdana" w:hAnsi="Verdana"/>
        </w:rPr>
      </w:pPr>
      <w:r w:rsidRPr="00D477DE">
        <w:rPr>
          <w:rFonts w:ascii="Verdana" w:hAnsi="Verdana"/>
        </w:rPr>
        <w:t>Que mediante la expedición del Decreto 1523 de 18 de diciembre de 2024, el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Ministerio de Hacienda y Crédito Público estableció el presupuesto de rentas y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lastRenderedPageBreak/>
        <w:t>recursos de capital y el presupuesto de gastos para la vigencia fiscal del 1 de enero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al 31 de diciembre de 2025.</w:t>
      </w:r>
    </w:p>
    <w:p w14:paraId="5B31D416" w14:textId="4C7402D5" w:rsidR="00D477DE" w:rsidRPr="00D477DE" w:rsidRDefault="00D477DE" w:rsidP="00D477DE">
      <w:pPr>
        <w:jc w:val="both"/>
        <w:rPr>
          <w:rFonts w:ascii="Verdana" w:hAnsi="Verdana"/>
        </w:rPr>
      </w:pPr>
      <w:r w:rsidRPr="00D477DE">
        <w:rPr>
          <w:rFonts w:ascii="Verdana" w:hAnsi="Verdana"/>
        </w:rPr>
        <w:t>Que a través del Decreto 1621 del 30 de diciembre de 2024, el Ministerio de Hacienda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y Crédito Público liquidó el Presupuesto General de la Nación para la vigencia fiscal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de 2025, detallando las apropiaciones, clasificando y definiendo los gastos. Este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Decreto incluye el Presupuesto del Instituto Colombiano de Bienestar Familiar -ICBF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para la vigencia fiscal 2025.</w:t>
      </w:r>
    </w:p>
    <w:p w14:paraId="5294D84A" w14:textId="5B5E6120" w:rsidR="00D477DE" w:rsidRPr="00D477DE" w:rsidRDefault="00D477DE" w:rsidP="00D477DE">
      <w:pPr>
        <w:jc w:val="both"/>
        <w:rPr>
          <w:rFonts w:ascii="Verdana" w:hAnsi="Verdana"/>
        </w:rPr>
      </w:pPr>
      <w:r w:rsidRPr="00D477DE">
        <w:rPr>
          <w:rFonts w:ascii="Verdana" w:hAnsi="Verdana"/>
        </w:rPr>
        <w:t>Que, en consideración a lo anterior, mediante Resolución No. 64321 del 31 de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diciembre de 2024, el Instituto Colombiano de Bienestar Familiar - ICBF, consolidó el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presupuesto de ingresos y se desagregó, distribuyó, asignó y ordenó comunicar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asignación del presupuesto de gastos del ICBF a Nivel de la Unidad Ejecutora,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Regionales y Sede de la Dirección General, para la vigencia fiscal del año 2025.</w:t>
      </w:r>
    </w:p>
    <w:p w14:paraId="67DB7EA8" w14:textId="3844E4B2" w:rsidR="00D477DE" w:rsidRDefault="00D477DE" w:rsidP="00D477DE">
      <w:pPr>
        <w:jc w:val="both"/>
        <w:rPr>
          <w:rFonts w:ascii="Verdana" w:hAnsi="Verdana"/>
        </w:rPr>
      </w:pPr>
      <w:r w:rsidRPr="00D477DE">
        <w:rPr>
          <w:rFonts w:ascii="Verdana" w:hAnsi="Verdana"/>
        </w:rPr>
        <w:t>Que adicionalmente, la Dirección General de Presupuesto Público Nacional del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Ministerio de Hacienda y Crédito Público, con el aval del Departamento Nacional de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Planeación a través de la Dirección de Inversiones y Finanzas Públicas, estableció el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Manual de Clasificación Presupuestal para ingresos y gastos del Presupuesto General de la Nación.</w:t>
      </w:r>
    </w:p>
    <w:p w14:paraId="087C98BC" w14:textId="1AAE65D5" w:rsidR="00D477DE" w:rsidRPr="00D477DE" w:rsidRDefault="00D477DE" w:rsidP="00D477DE">
      <w:pPr>
        <w:jc w:val="both"/>
        <w:rPr>
          <w:rFonts w:ascii="Verdana" w:hAnsi="Verdana"/>
        </w:rPr>
      </w:pPr>
      <w:r w:rsidRPr="00D477DE">
        <w:rPr>
          <w:rFonts w:ascii="Verdana" w:hAnsi="Verdana"/>
        </w:rPr>
        <w:t>Que el mencionado documento contiene la desagregación general de la clasificación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propuesta, las definiciones adoptadas y algunos casos de aplicación específica, cuya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extensión de este, no implica que todos los órganos deban aplicar todos los conceptos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allí registrados, ya que los mismos deben responder a la naturaleza de la entidad y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los soportes normativos para su uso.</w:t>
      </w:r>
    </w:p>
    <w:p w14:paraId="460652C9" w14:textId="4775A5F6" w:rsidR="00D477DE" w:rsidRDefault="00D477DE" w:rsidP="00D477DE">
      <w:pPr>
        <w:jc w:val="both"/>
        <w:rPr>
          <w:rFonts w:ascii="Verdana" w:hAnsi="Verdana"/>
        </w:rPr>
      </w:pPr>
      <w:r w:rsidRPr="00D477DE">
        <w:rPr>
          <w:rFonts w:ascii="Verdana" w:hAnsi="Verdana"/>
        </w:rPr>
        <w:t>Que, respecto de la implementación del Catálogo de Clasificación Presupuestal, el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artículo 19 de la Resolución No. 0042 del 20 de diciembre de 2019 expedida por el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Ministerio de Hacienda y Crédito Público dispuso:</w:t>
      </w:r>
    </w:p>
    <w:p w14:paraId="1B82ADAF" w14:textId="03D8B736" w:rsidR="00D477DE" w:rsidRPr="00D477DE" w:rsidRDefault="00D477DE" w:rsidP="00D477DE">
      <w:pPr>
        <w:jc w:val="both"/>
        <w:rPr>
          <w:rFonts w:ascii="Verdana" w:hAnsi="Verdana"/>
        </w:rPr>
      </w:pPr>
      <w:r w:rsidRPr="00D477DE">
        <w:rPr>
          <w:rFonts w:ascii="Verdana" w:hAnsi="Verdana"/>
        </w:rPr>
        <w:t>"(...) IMPLEMENTACIÓN DEL CATÁLOGO DE CLASIFICACIÓN PRESUPUESTAL EN EL SIIF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- NACIÓN. Para efectos de la implementación del catálogo de clasificación presupuestal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en el Sistema Integrado de Información Financiera (SIIF) Nación, la Dirección General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de Presupuesto Público Nacional y la Administración del SIIF establecerán los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mecanismos a los que haya lugar.</w:t>
      </w:r>
    </w:p>
    <w:p w14:paraId="0687BF00" w14:textId="0BA8AFD0" w:rsidR="00D477DE" w:rsidRPr="00D477DE" w:rsidRDefault="00D477DE" w:rsidP="00D477DE">
      <w:pPr>
        <w:jc w:val="both"/>
        <w:rPr>
          <w:rFonts w:ascii="Verdana" w:hAnsi="Verdana"/>
        </w:rPr>
      </w:pPr>
      <w:r w:rsidRPr="00D477DE">
        <w:rPr>
          <w:rFonts w:ascii="Verdana" w:hAnsi="Verdana"/>
        </w:rPr>
        <w:t>Las tablas de la presente resolución y el detalle completo de la desagregación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presentado por la Dirección General del Presupuesto Público Nacional en la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página web del Ministerio de Hacienda y Crédito Público son aplicables en cada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unidad ejecutora del Presupuesto General de la Nación de acuerdo a sus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requerimientos, para efectos de programación, ejecución, registro y reporte,</w:t>
      </w:r>
      <w:r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por tanto, deberá utilizarse solo en lo que les aplique bajo la responsabilidad del</w:t>
      </w:r>
      <w:r w:rsidR="00497385"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jefe</w:t>
      </w:r>
      <w:r w:rsidR="00497385"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>del respectivo órgano o en quien este delegue.</w:t>
      </w:r>
    </w:p>
    <w:p w14:paraId="2DAC180D" w14:textId="448EC287" w:rsidR="00497385" w:rsidRDefault="00D477DE" w:rsidP="00497385">
      <w:pPr>
        <w:jc w:val="both"/>
        <w:rPr>
          <w:rFonts w:ascii="Verdana" w:hAnsi="Verdana"/>
        </w:rPr>
      </w:pPr>
      <w:r w:rsidRPr="00D477DE">
        <w:rPr>
          <w:rFonts w:ascii="Verdana" w:hAnsi="Verdana"/>
        </w:rPr>
        <w:t>La Dirección General del Presupuesto Público Nacional habilitará a cada unidad</w:t>
      </w:r>
      <w:r w:rsidR="00497385">
        <w:rPr>
          <w:rFonts w:ascii="Verdana" w:hAnsi="Verdana"/>
        </w:rPr>
        <w:t xml:space="preserve"> </w:t>
      </w:r>
      <w:r w:rsidRPr="00D477DE">
        <w:rPr>
          <w:rFonts w:ascii="Verdana" w:hAnsi="Verdana"/>
        </w:rPr>
        <w:t xml:space="preserve">ejecutora los rubros de acuerdo con la competencia y a solicitud de </w:t>
      </w:r>
      <w:proofErr w:type="gramStart"/>
      <w:r w:rsidRPr="00D477DE">
        <w:rPr>
          <w:rFonts w:ascii="Verdana" w:hAnsi="Verdana"/>
        </w:rPr>
        <w:t>la misma</w:t>
      </w:r>
      <w:proofErr w:type="gramEnd"/>
      <w:r w:rsidRPr="00D477DE">
        <w:rPr>
          <w:rFonts w:ascii="Verdana" w:hAnsi="Verdana"/>
        </w:rPr>
        <w:t>".</w:t>
      </w:r>
    </w:p>
    <w:p w14:paraId="456C2D9D" w14:textId="13623FA4" w:rsidR="00497385" w:rsidRP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</w:rPr>
        <w:lastRenderedPageBreak/>
        <w:t>Que, el Catálogo de Clasificación Presupuestal (CCP) se refiere al sistema de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clasificación o codificación que se utiliza para definir tanto las transacciones de ingreso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como las transacciones de gasto en las etapas de programación, aprobación,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ejecución y seguimiento presupuestal y el cual contiene las clasificaciones principales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y auxiliares del presupuesto.</w:t>
      </w:r>
    </w:p>
    <w:p w14:paraId="0D1C6FA3" w14:textId="58568DA3" w:rsidR="00497385" w:rsidRP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</w:rPr>
        <w:t>Que el DANE publicó el documento denominado "Clasificación Central de Productos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Versión 2.1 (2022)", el cual contiene el máximo nivel de desagregación y definición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de la totalidad de los usos (objetos de gasto), en concordancia con el Catálogo de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Clasificación Presupuestal y el Manual de Clasificación Presupuestal expedidos por el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Ministerio de Hacienda y Crédito Público.</w:t>
      </w:r>
    </w:p>
    <w:p w14:paraId="33C99AF2" w14:textId="64BFB0EE" w:rsid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</w:rPr>
        <w:t>Que conforme lo definido en dicho documento, así como lo dispuesto en el Catálogo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de Clasificación Presupuestal y el Manual de Clasificación Presupuestal que se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encuentre publicado por el Ministerio de Hacienda y Crédito Público, serán insumos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de referencia para definir los objetos de gasto en relación con la estructura de los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gastos de funcionamiento de la entidad.</w:t>
      </w:r>
    </w:p>
    <w:p w14:paraId="026A9ACA" w14:textId="045D567D" w:rsidR="00497385" w:rsidRP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</w:rPr>
        <w:t>Que por ser de aplicación universal para todos los órganos que hacen parte del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Presupuesto General de la Nación, el ICBF debe acoger el último Catálogo de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Clasificación Presupuestal de Gastos de Inversión, Funcionamiento y Servicio a la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Deuda y el Manual de Clasificación Presupuestal vigente por parte del Ministerio de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Hacienda y Crédito Público, así como la última versión publicada por el DANE de la Clasificación Central de Productos (CCP) siempre y cuando corresponda a la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naturaleza, misión y objetivos estratégicos del ICBF.</w:t>
      </w:r>
    </w:p>
    <w:p w14:paraId="7866FA5B" w14:textId="6AE3435D" w:rsidR="00497385" w:rsidRP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</w:rPr>
        <w:t>Que el ICBF, en virtud de las previsiones contenidas en Resolución No. 042 de 20 de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diciembre de 2019, modificada mediante Resolución No. 003 de 05 de febrero de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2021 y demás normatividad aplicable, acogerá las clasificaciones del gasto que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responden a su naturaleza y los soportes normativos vigentes para su uso.</w:t>
      </w:r>
    </w:p>
    <w:p w14:paraId="6031CBD0" w14:textId="02CA0DD3" w:rsidR="00497385" w:rsidRP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</w:rPr>
        <w:t>Que en virtud de lo anterior, se hace necesario adoptar los Lineamientos de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Programación y Ejecución de Metas Sociales y Financieras del ICBF para la vigencia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2025, con el fin de establecer los objetivos, criterios y parámetros para la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programación y ejecución de los distintos proyectos, centros de costos y modalidades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de atención del Servicio Público del Bienestar Familiar, los cuales son financiados con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recursos apropiados en el Decreto de Liquidación del Presupuesto General de la Nación para el ICBF.</w:t>
      </w:r>
    </w:p>
    <w:p w14:paraId="487B8F18" w14:textId="13E57D4C" w:rsidR="00497385" w:rsidRP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</w:rPr>
        <w:t>Que los Lineamientos de Programación y Ejecución de Metas Sociales y Financieras,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se encuentran compuestos por fichas de programación, las cuales son expedidas por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los responsables de los gastos de funcionamiento e inversión por proyecto, centros de costos y modalidades de atención del ICBF.</w:t>
      </w:r>
    </w:p>
    <w:p w14:paraId="28F38CA7" w14:textId="66047FEF" w:rsid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</w:rPr>
        <w:t>En mérito de lo expuesto,</w:t>
      </w:r>
    </w:p>
    <w:p w14:paraId="50FF1C4E" w14:textId="77777777" w:rsidR="00497385" w:rsidRPr="00497385" w:rsidRDefault="00497385" w:rsidP="00497385">
      <w:pPr>
        <w:jc w:val="center"/>
        <w:rPr>
          <w:rFonts w:ascii="Verdana" w:hAnsi="Verdana"/>
          <w:b/>
          <w:bCs/>
        </w:rPr>
      </w:pPr>
      <w:r w:rsidRPr="00497385">
        <w:rPr>
          <w:rFonts w:ascii="Verdana" w:hAnsi="Verdana"/>
          <w:b/>
          <w:bCs/>
        </w:rPr>
        <w:lastRenderedPageBreak/>
        <w:t>RESUELVE:</w:t>
      </w:r>
    </w:p>
    <w:p w14:paraId="3AE70DFF" w14:textId="61182714" w:rsidR="00497385" w:rsidRP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  <w:b/>
          <w:bCs/>
        </w:rPr>
        <w:t>ARTÍCULO 1o. ACOGER</w:t>
      </w:r>
      <w:r w:rsidRPr="00497385">
        <w:rPr>
          <w:rFonts w:ascii="Verdana" w:hAnsi="Verdana"/>
        </w:rPr>
        <w:t xml:space="preserve"> el Catálogo de Clasificación Presupuestal (CCP)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vigente, expedido por el Ministerio de Hacienda y Crédito Público, con respecto a las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fichas de programación asociadas a los gastos de funcionamiento.</w:t>
      </w:r>
    </w:p>
    <w:p w14:paraId="45A9E48C" w14:textId="230816BD" w:rsidR="00497385" w:rsidRP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  <w:b/>
          <w:bCs/>
        </w:rPr>
        <w:t>ARTÍCULO 2o. ADOPTAR</w:t>
      </w:r>
      <w:r w:rsidRPr="00497385">
        <w:rPr>
          <w:rFonts w:ascii="Verdana" w:hAnsi="Verdana"/>
        </w:rPr>
        <w:t xml:space="preserve"> los Lineamientos de Programación y Ejecución de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Metas Sociales y Financiera para la vigencia 2025, en ochenta y cuatro (84) fichas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técnicas por Dependencia del Gasto - Centros de Costos, registrados en el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presupuesto de gastos del ICBF, con sus respectivos anexos, los cuales hacen parte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integral de la presente Resolución.</w:t>
      </w:r>
    </w:p>
    <w:p w14:paraId="55ACDDEC" w14:textId="1EB0776C" w:rsid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  <w:b/>
          <w:bCs/>
        </w:rPr>
        <w:t>ARTÍCULO 3o. MODIFICACIONES.</w:t>
      </w:r>
      <w:r w:rsidRPr="00497385">
        <w:rPr>
          <w:rFonts w:ascii="Verdana" w:hAnsi="Verdana"/>
        </w:rPr>
        <w:t xml:space="preserve"> Cualquier modificación o ajuste a los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Lineamientos de Programación y Ejecución de Metas Sociales y Financieras para la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vigencia 2025 deberá ser efectuada y adoptada mediante acto administrativo.</w:t>
      </w:r>
    </w:p>
    <w:p w14:paraId="61CF1F80" w14:textId="77777777" w:rsid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  <w:b/>
          <w:bCs/>
        </w:rPr>
        <w:t>PARÁGRAFO.</w:t>
      </w:r>
      <w:r w:rsidRPr="00497385">
        <w:rPr>
          <w:rFonts w:ascii="Verdana" w:hAnsi="Verdana"/>
        </w:rPr>
        <w:t xml:space="preserve"> Para la modificación será necesario la solicitud y justificación técnica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y presupuestal realizada por el/los responsables(s) de la ficha de programación, la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cual se realizará mediante memorando.</w:t>
      </w:r>
      <w:r>
        <w:rPr>
          <w:rFonts w:ascii="Verdana" w:hAnsi="Verdana"/>
        </w:rPr>
        <w:t xml:space="preserve"> </w:t>
      </w:r>
    </w:p>
    <w:p w14:paraId="230D3087" w14:textId="119C6A2C" w:rsidR="00497385" w:rsidRP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</w:rPr>
        <w:t>La solicitud de modificación deberá contar con el aval de la Subdirección de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Programación de la Dirección de Planeación y Control de Gestión del ICBF.</w:t>
      </w:r>
    </w:p>
    <w:p w14:paraId="70630A5E" w14:textId="327C37BB" w:rsidR="00497385" w:rsidRP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</w:rPr>
        <w:t>Una vez realizado lo anterior, se enviará a la Oficina Asesora jurídica del ICBF para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que se realice el respectivo control de legalidad.</w:t>
      </w:r>
    </w:p>
    <w:p w14:paraId="436D9121" w14:textId="1E431CCF" w:rsidR="00497385" w:rsidRP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  <w:b/>
          <w:bCs/>
        </w:rPr>
        <w:t>ARTÍCULO 4o. COMUNÍQUESE</w:t>
      </w:r>
      <w:r w:rsidRPr="00497385">
        <w:rPr>
          <w:rFonts w:ascii="Verdana" w:hAnsi="Verdana"/>
        </w:rPr>
        <w:t xml:space="preserve"> el contenido del presente acto administrativo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a la Dirección de Planeación y Control de Gestión, y por su intermedio, a otras</w:t>
      </w:r>
      <w:r>
        <w:rPr>
          <w:rFonts w:ascii="Verdana" w:hAnsi="Verdana"/>
        </w:rPr>
        <w:t xml:space="preserve"> </w:t>
      </w:r>
      <w:r w:rsidRPr="00497385">
        <w:rPr>
          <w:rFonts w:ascii="Verdana" w:hAnsi="Verdana"/>
        </w:rPr>
        <w:t>dependencias del ICBF.</w:t>
      </w:r>
    </w:p>
    <w:p w14:paraId="5D6571C8" w14:textId="086FD9DA" w:rsidR="00497385" w:rsidRPr="00497385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  <w:b/>
          <w:bCs/>
        </w:rPr>
        <w:t>ARTÍCULO 5o. VIGENCIAS.</w:t>
      </w:r>
      <w:r w:rsidRPr="00497385">
        <w:rPr>
          <w:rFonts w:ascii="Verdana" w:hAnsi="Verdana"/>
        </w:rPr>
        <w:t xml:space="preserve"> La presente Resolución rige a partir de la fecha</w:t>
      </w:r>
    </w:p>
    <w:p w14:paraId="72E23C0E" w14:textId="17CAFAD9" w:rsidR="00497385" w:rsidRPr="00D477DE" w:rsidRDefault="00497385" w:rsidP="00497385">
      <w:pPr>
        <w:jc w:val="both"/>
        <w:rPr>
          <w:rFonts w:ascii="Verdana" w:hAnsi="Verdana"/>
        </w:rPr>
      </w:pPr>
      <w:r w:rsidRPr="00497385">
        <w:rPr>
          <w:rFonts w:ascii="Verdana" w:hAnsi="Verdana"/>
        </w:rPr>
        <w:t>de su expedición.</w:t>
      </w:r>
    </w:p>
    <w:p w14:paraId="7C4E9949" w14:textId="2FDDEC5C" w:rsidR="00497385" w:rsidRPr="00497385" w:rsidRDefault="00497385" w:rsidP="00497385">
      <w:pPr>
        <w:jc w:val="center"/>
        <w:rPr>
          <w:rFonts w:ascii="Verdana" w:hAnsi="Verdana"/>
          <w:b/>
          <w:bCs/>
        </w:rPr>
      </w:pPr>
      <w:r w:rsidRPr="00497385">
        <w:rPr>
          <w:rFonts w:ascii="Verdana" w:hAnsi="Verdana"/>
          <w:b/>
          <w:bCs/>
        </w:rPr>
        <w:t>COMUNÍQUESE Y CÚMPLASE</w:t>
      </w:r>
    </w:p>
    <w:p w14:paraId="076CB685" w14:textId="3AD9D081" w:rsidR="00D477DE" w:rsidRPr="00497385" w:rsidRDefault="00497385" w:rsidP="00497385">
      <w:pPr>
        <w:jc w:val="center"/>
        <w:rPr>
          <w:rFonts w:ascii="Verdana" w:hAnsi="Verdana"/>
        </w:rPr>
      </w:pPr>
      <w:r w:rsidRPr="00497385">
        <w:rPr>
          <w:rFonts w:ascii="Verdana" w:hAnsi="Verdana"/>
        </w:rPr>
        <w:t>DADA EN BOGOTÁ D.C., A LOS 02 DÍAS DEL MES DE ENERO DE 2025</w:t>
      </w:r>
    </w:p>
    <w:p w14:paraId="51CC1CEA" w14:textId="6CBD198A" w:rsidR="00497385" w:rsidRPr="00497385" w:rsidRDefault="00497385" w:rsidP="00497385">
      <w:pPr>
        <w:jc w:val="center"/>
        <w:rPr>
          <w:rFonts w:ascii="Verdana" w:hAnsi="Verdana"/>
          <w:b/>
          <w:bCs/>
        </w:rPr>
      </w:pPr>
      <w:r w:rsidRPr="00497385">
        <w:rPr>
          <w:rFonts w:ascii="Verdana" w:hAnsi="Verdana"/>
          <w:b/>
          <w:bCs/>
        </w:rPr>
        <w:t>ASTRID ELIANA CÁCERES CARDENAS</w:t>
      </w:r>
    </w:p>
    <w:p w14:paraId="02A4E80A" w14:textId="16DB85A7" w:rsidR="00497385" w:rsidRPr="00497385" w:rsidRDefault="00497385" w:rsidP="00497385">
      <w:pPr>
        <w:jc w:val="center"/>
        <w:rPr>
          <w:rFonts w:ascii="Verdana" w:hAnsi="Verdana"/>
        </w:rPr>
      </w:pPr>
      <w:r w:rsidRPr="00497385">
        <w:rPr>
          <w:rFonts w:ascii="Verdana" w:hAnsi="Verdana"/>
        </w:rPr>
        <w:t>DIRECTORA GENERAL</w:t>
      </w:r>
    </w:p>
    <w:sectPr w:rsidR="00497385" w:rsidRPr="004973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DE"/>
    <w:rsid w:val="000B4793"/>
    <w:rsid w:val="00275620"/>
    <w:rsid w:val="002C5F6B"/>
    <w:rsid w:val="00497385"/>
    <w:rsid w:val="008C7D37"/>
    <w:rsid w:val="00C6121A"/>
    <w:rsid w:val="00D477DE"/>
    <w:rsid w:val="00D84FF5"/>
    <w:rsid w:val="00E04A5E"/>
    <w:rsid w:val="00F3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0549"/>
  <w15:chartTrackingRefBased/>
  <w15:docId w15:val="{C9EDD882-4ADD-4B97-B19D-F503F029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5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6FCB52-950B-4F5D-88F6-DD30D221781D}"/>
</file>

<file path=customXml/itemProps2.xml><?xml version="1.0" encoding="utf-8"?>
<ds:datastoreItem xmlns:ds="http://schemas.openxmlformats.org/officeDocument/2006/customXml" ds:itemID="{BA407916-F699-4B0A-AD83-5F41CA4ABD30}"/>
</file>

<file path=customXml/itemProps3.xml><?xml version="1.0" encoding="utf-8"?>
<ds:datastoreItem xmlns:ds="http://schemas.openxmlformats.org/officeDocument/2006/customXml" ds:itemID="{C0E337FE-5CD6-48FA-B7A7-43BF7E0E4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1427</Words>
  <Characters>7712</Characters>
  <Application>Microsoft Office Word</Application>
  <DocSecurity>0</DocSecurity>
  <Lines>148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7</cp:revision>
  <dcterms:created xsi:type="dcterms:W3CDTF">2026-03-20T14:00:00Z</dcterms:created>
  <dcterms:modified xsi:type="dcterms:W3CDTF">2026-03-20T20:37:00Z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