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7B73" w14:textId="1F47706E" w:rsidR="00275A2F" w:rsidRPr="00275A2F" w:rsidRDefault="00275A2F" w:rsidP="00275A2F">
      <w:pPr>
        <w:jc w:val="center"/>
        <w:rPr>
          <w:rFonts w:ascii="Verdana" w:hAnsi="Verdana"/>
          <w:b/>
          <w:bCs/>
        </w:rPr>
      </w:pPr>
      <w:r w:rsidRPr="00275A2F">
        <w:rPr>
          <w:rFonts w:ascii="Verdana" w:hAnsi="Verdana"/>
          <w:b/>
          <w:bCs/>
        </w:rPr>
        <w:t>CONCEPTO 97 DE 2014</w:t>
      </w:r>
    </w:p>
    <w:p w14:paraId="74B3FB67" w14:textId="104B4A0E" w:rsidR="00275A2F" w:rsidRPr="00275A2F" w:rsidRDefault="00275A2F" w:rsidP="00275A2F">
      <w:pPr>
        <w:jc w:val="center"/>
        <w:rPr>
          <w:rFonts w:ascii="Verdana" w:hAnsi="Verdana"/>
        </w:rPr>
      </w:pPr>
      <w:r w:rsidRPr="00275A2F">
        <w:rPr>
          <w:rFonts w:ascii="Verdana" w:hAnsi="Verdana"/>
        </w:rPr>
        <w:t>(17 de julio)</w:t>
      </w:r>
    </w:p>
    <w:p w14:paraId="41816C79" w14:textId="3364B8FA" w:rsidR="00275A2F" w:rsidRPr="00275A2F" w:rsidRDefault="00275A2F" w:rsidP="00275A2F">
      <w:pPr>
        <w:jc w:val="center"/>
        <w:rPr>
          <w:rFonts w:ascii="Verdana" w:hAnsi="Verdana"/>
          <w:b/>
          <w:bCs/>
        </w:rPr>
      </w:pPr>
      <w:r w:rsidRPr="00275A2F">
        <w:rPr>
          <w:rFonts w:ascii="Verdana" w:hAnsi="Verdana"/>
          <w:b/>
          <w:bCs/>
        </w:rPr>
        <w:t>INSTITUTO COLOMBIANO DE BIENESTAR FAMILIAR – ICBF</w:t>
      </w:r>
    </w:p>
    <w:p w14:paraId="28D517CA" w14:textId="77777777" w:rsidR="00275A2F" w:rsidRPr="00275A2F" w:rsidRDefault="00275A2F" w:rsidP="00275A2F">
      <w:pPr>
        <w:jc w:val="both"/>
        <w:rPr>
          <w:rFonts w:ascii="Verdana" w:hAnsi="Verdana"/>
        </w:rPr>
      </w:pPr>
      <w:r w:rsidRPr="00275A2F">
        <w:rPr>
          <w:rFonts w:ascii="Verdana" w:hAnsi="Verdana"/>
          <w:b/>
          <w:bCs/>
        </w:rPr>
        <w:t>PARA:</w:t>
      </w:r>
      <w:r w:rsidRPr="00275A2F">
        <w:rPr>
          <w:rFonts w:ascii="Verdana" w:hAnsi="Verdana"/>
        </w:rPr>
        <w:tab/>
        <w:t>Coordinador Jurídico de la Regional ICBF Antioquia</w:t>
      </w:r>
    </w:p>
    <w:p w14:paraId="11FE591B" w14:textId="77777777" w:rsidR="00275A2F" w:rsidRPr="00275A2F" w:rsidRDefault="00275A2F" w:rsidP="00275A2F">
      <w:pPr>
        <w:jc w:val="both"/>
        <w:rPr>
          <w:rFonts w:ascii="Verdana" w:hAnsi="Verdana"/>
        </w:rPr>
      </w:pPr>
      <w:r w:rsidRPr="00275A2F">
        <w:rPr>
          <w:rFonts w:ascii="Verdana" w:hAnsi="Verdana"/>
          <w:b/>
          <w:bCs/>
        </w:rPr>
        <w:t>ASUNTO:</w:t>
      </w:r>
      <w:r w:rsidRPr="00275A2F">
        <w:rPr>
          <w:rFonts w:ascii="Verdana" w:hAnsi="Verdana"/>
        </w:rPr>
        <w:tab/>
        <w:t>Respuesta solicitud de concepto jurídico.</w:t>
      </w:r>
    </w:p>
    <w:p w14:paraId="3ED2C4F4" w14:textId="14F6F1AF" w:rsidR="00275A2F" w:rsidRPr="00275A2F" w:rsidRDefault="00275A2F" w:rsidP="00275A2F">
      <w:pPr>
        <w:jc w:val="both"/>
        <w:rPr>
          <w:rFonts w:ascii="Verdana" w:hAnsi="Verdana"/>
        </w:rPr>
      </w:pPr>
      <w:r w:rsidRPr="00275A2F">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definitiva de concepto remitida por la Dra. Mary Luz González Tabares, por parte de la Oficina Asesora Jurídica sobre el caso en cuestión, en los términos que siguen:</w:t>
      </w:r>
    </w:p>
    <w:p w14:paraId="7E2F2D22" w14:textId="60A27A7F" w:rsidR="00275A2F" w:rsidRPr="00275A2F" w:rsidRDefault="00275A2F" w:rsidP="00275A2F">
      <w:pPr>
        <w:jc w:val="both"/>
        <w:rPr>
          <w:rFonts w:ascii="Verdana" w:hAnsi="Verdana"/>
          <w:b/>
          <w:bCs/>
        </w:rPr>
      </w:pPr>
      <w:r w:rsidRPr="00275A2F">
        <w:rPr>
          <w:rFonts w:ascii="Verdana" w:hAnsi="Verdana"/>
          <w:b/>
          <w:bCs/>
        </w:rPr>
        <w:t>1. PROBLEMA JURIDICO</w:t>
      </w:r>
    </w:p>
    <w:p w14:paraId="1AC4838B" w14:textId="5442559E" w:rsidR="00275A2F" w:rsidRPr="00275A2F" w:rsidRDefault="00275A2F" w:rsidP="00275A2F">
      <w:pPr>
        <w:jc w:val="both"/>
        <w:rPr>
          <w:rFonts w:ascii="Verdana" w:hAnsi="Verdana"/>
        </w:rPr>
      </w:pPr>
      <w:r w:rsidRPr="00275A2F">
        <w:rPr>
          <w:rFonts w:ascii="Verdana" w:hAnsi="Verdana"/>
        </w:rPr>
        <w:t>¿Es competente un Comisario de Familia para emitir conceptos sobre acuerdos privados de divorcio y de cancelación de patrimonio inembargable ante Notario, en un municipio en el cual no ha sido designado Defensor de Familia?</w:t>
      </w:r>
    </w:p>
    <w:p w14:paraId="4AA4D781" w14:textId="0FDB756E" w:rsidR="00275A2F" w:rsidRPr="00275A2F" w:rsidRDefault="00275A2F" w:rsidP="00275A2F">
      <w:pPr>
        <w:jc w:val="both"/>
        <w:rPr>
          <w:rFonts w:ascii="Verdana" w:hAnsi="Verdana"/>
          <w:b/>
          <w:bCs/>
        </w:rPr>
      </w:pPr>
      <w:r w:rsidRPr="00275A2F">
        <w:rPr>
          <w:rFonts w:ascii="Verdana" w:hAnsi="Verdana"/>
          <w:b/>
          <w:bCs/>
        </w:rPr>
        <w:t>2. ANÁLISIS DEL PROBLEMA JURÍDICO</w:t>
      </w:r>
    </w:p>
    <w:p w14:paraId="7189EA71" w14:textId="7134A711" w:rsidR="00275A2F" w:rsidRPr="00275A2F" w:rsidRDefault="00275A2F" w:rsidP="00275A2F">
      <w:pPr>
        <w:jc w:val="both"/>
        <w:rPr>
          <w:rFonts w:ascii="Verdana" w:hAnsi="Verdana"/>
        </w:rPr>
      </w:pPr>
      <w:r w:rsidRPr="00275A2F">
        <w:rPr>
          <w:rFonts w:ascii="Verdana" w:hAnsi="Verdana"/>
        </w:rPr>
        <w:t>Metodológicamente estudiaremos 2.1 El interés superior de los niños, niñas y adolescentes; 2.2 Las Defensorías de Familia y las Comisarias de Familia; 2.3 La competencia subsidiaria prevista en la Ley 1098 de 2006; 2.4 El trámite de divorcio ante Notario; 2.5 El patrimonio de familia; 2.6 Caso concreto</w:t>
      </w:r>
    </w:p>
    <w:p w14:paraId="72EB62D3" w14:textId="0BFA3A87" w:rsidR="00275A2F" w:rsidRPr="00275A2F" w:rsidRDefault="00275A2F" w:rsidP="00275A2F">
      <w:pPr>
        <w:jc w:val="both"/>
        <w:rPr>
          <w:rFonts w:ascii="Verdana" w:hAnsi="Verdana"/>
        </w:rPr>
      </w:pPr>
      <w:r w:rsidRPr="00275A2F">
        <w:rPr>
          <w:rFonts w:ascii="Verdana" w:hAnsi="Verdana"/>
        </w:rPr>
        <w:t>2.1. El interés Superior de los niños, niñas y adolescentes</w:t>
      </w:r>
    </w:p>
    <w:p w14:paraId="375D799F" w14:textId="19A4108E" w:rsidR="00275A2F" w:rsidRPr="00275A2F" w:rsidRDefault="00275A2F" w:rsidP="00275A2F">
      <w:pPr>
        <w:jc w:val="both"/>
        <w:rPr>
          <w:rFonts w:ascii="Verdana" w:hAnsi="Verdana"/>
        </w:rPr>
      </w:pPr>
      <w:r w:rsidRPr="00275A2F">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2C33D03B" w14:textId="461BE450" w:rsidR="00275A2F" w:rsidRPr="00275A2F" w:rsidRDefault="00275A2F" w:rsidP="00275A2F">
      <w:pPr>
        <w:jc w:val="both"/>
        <w:rPr>
          <w:rFonts w:ascii="Verdana" w:hAnsi="Verdana"/>
        </w:rPr>
      </w:pPr>
      <w:r w:rsidRPr="00275A2F">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4AEB00BD" w14:textId="13B57B5C" w:rsidR="00275A2F" w:rsidRPr="00275A2F" w:rsidRDefault="00275A2F" w:rsidP="00275A2F">
      <w:pPr>
        <w:jc w:val="both"/>
        <w:rPr>
          <w:rFonts w:ascii="Verdana" w:hAnsi="Verdana"/>
        </w:rPr>
      </w:pPr>
      <w:r w:rsidRPr="00275A2F">
        <w:rPr>
          <w:rFonts w:ascii="Verdana" w:hAnsi="Verdana"/>
        </w:rPr>
        <w:t>Por su parte, en el artículo 8 del Código de la infancia y la Adolescencia se define el interés superior de los niños, las niñas y los adolescentes como "(...) el imperativo obliga a todas las personas a garantizar la satisfacción integral y simultánea de todos sus derechos humanos, que son universales, prevalentes e interdependientes".</w:t>
      </w:r>
    </w:p>
    <w:p w14:paraId="6573AF70" w14:textId="0BCC3BBE" w:rsidR="00275A2F" w:rsidRPr="00275A2F" w:rsidRDefault="00275A2F" w:rsidP="00275A2F">
      <w:pPr>
        <w:jc w:val="both"/>
        <w:rPr>
          <w:rFonts w:ascii="Verdana" w:hAnsi="Verdana"/>
        </w:rPr>
      </w:pPr>
      <w:r w:rsidRPr="00275A2F">
        <w:rPr>
          <w:rFonts w:ascii="Verdana" w:hAnsi="Verdana"/>
        </w:rPr>
        <w:lastRenderedPageBreak/>
        <w:t>En ese sentido, la Corte Constitucional ha precisado que todas las actuaciones que realicen las autoridades públicas en las que se encuentren involucrados niños, niñas o adolescentes deben estar orientadas por el principio del interés superior.</w:t>
      </w:r>
    </w:p>
    <w:p w14:paraId="01AF6BE4" w14:textId="6523ED94" w:rsidR="00275A2F" w:rsidRPr="00275A2F" w:rsidRDefault="00275A2F" w:rsidP="00275A2F">
      <w:pPr>
        <w:jc w:val="both"/>
        <w:rPr>
          <w:rFonts w:ascii="Verdana" w:hAnsi="Verdana"/>
        </w:rPr>
      </w:pPr>
      <w:r w:rsidRPr="00275A2F">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275A2F">
        <w:rPr>
          <w:rFonts w:ascii="Verdana" w:hAnsi="Verdana"/>
        </w:rPr>
        <w:t>que</w:t>
      </w:r>
      <w:proofErr w:type="gramEnd"/>
      <w:r w:rsidRPr="00275A2F">
        <w:rPr>
          <w:rFonts w:ascii="Verdana" w:hAnsi="Verdana"/>
        </w:rPr>
        <w:t xml:space="preserve"> en tanto sujeto digno, debe ser atendido por la familia, la sociedad y el Estado con todo el cuidado que requiere su situación personal”.</w:t>
      </w:r>
    </w:p>
    <w:p w14:paraId="1B963673" w14:textId="462B13E7" w:rsidR="00275A2F" w:rsidRPr="00275A2F" w:rsidRDefault="00275A2F" w:rsidP="00275A2F">
      <w:pPr>
        <w:jc w:val="both"/>
        <w:rPr>
          <w:rFonts w:ascii="Verdana" w:hAnsi="Verdana"/>
        </w:rPr>
      </w:pPr>
      <w:r w:rsidRPr="00275A2F">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422A26A9" w14:textId="7DA74F3E" w:rsidR="00275A2F" w:rsidRPr="00275A2F" w:rsidRDefault="00275A2F" w:rsidP="00275A2F">
      <w:pPr>
        <w:jc w:val="both"/>
        <w:rPr>
          <w:rFonts w:ascii="Verdana" w:hAnsi="Verdana"/>
        </w:rPr>
      </w:pPr>
      <w:r w:rsidRPr="00275A2F">
        <w:rPr>
          <w:rFonts w:ascii="Verdana" w:hAnsi="Verdana"/>
        </w:rPr>
        <w:t>2.2 Las Defensorías de Familia y las Comisarías de Familia</w:t>
      </w:r>
    </w:p>
    <w:p w14:paraId="0E23FA55" w14:textId="169804EC" w:rsidR="00275A2F" w:rsidRPr="00275A2F" w:rsidRDefault="00275A2F" w:rsidP="00275A2F">
      <w:pPr>
        <w:jc w:val="both"/>
        <w:rPr>
          <w:rFonts w:ascii="Verdana" w:hAnsi="Verdana"/>
        </w:rPr>
      </w:pPr>
      <w:r w:rsidRPr="00275A2F">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6CF40A42" w14:textId="61018DE6" w:rsidR="00275A2F" w:rsidRPr="00275A2F" w:rsidRDefault="00275A2F" w:rsidP="00275A2F">
      <w:pPr>
        <w:jc w:val="both"/>
        <w:rPr>
          <w:rFonts w:ascii="Verdana" w:hAnsi="Verdana"/>
        </w:rPr>
      </w:pPr>
      <w:r w:rsidRPr="00275A2F">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0379F8A3" w14:textId="13ADAB4A" w:rsidR="00275A2F" w:rsidRPr="00275A2F" w:rsidRDefault="00275A2F" w:rsidP="00275A2F">
      <w:pPr>
        <w:jc w:val="both"/>
        <w:rPr>
          <w:rFonts w:ascii="Verdana" w:hAnsi="Verdana"/>
        </w:rPr>
      </w:pPr>
      <w:r w:rsidRPr="00275A2F">
        <w:rPr>
          <w:rFonts w:ascii="Verdana" w:hAnsi="Verdana"/>
        </w:rPr>
        <w:t xml:space="preserve">En ese orden de ideas, resulta importante mencionar que las Defensorías de Familia son dependencias del Instituto Colombiano de Bienestar Familiar de naturaleza multidisciplinaria, por excelencia son las autoridades competentes </w:t>
      </w:r>
      <w:r w:rsidRPr="00275A2F">
        <w:rPr>
          <w:rFonts w:ascii="Verdana" w:hAnsi="Verdana"/>
        </w:rPr>
        <w:lastRenderedPageBreak/>
        <w:t>para garantizar y restablecer los derechos de los niños, niñas y adolescentes que se encuentren en situaciones de violación o amenaza contra los mismos.</w:t>
      </w:r>
    </w:p>
    <w:p w14:paraId="48D554C2" w14:textId="0890FD98" w:rsidR="00275A2F" w:rsidRPr="00275A2F" w:rsidRDefault="00275A2F" w:rsidP="00275A2F">
      <w:pPr>
        <w:jc w:val="both"/>
        <w:rPr>
          <w:rFonts w:ascii="Verdana" w:hAnsi="Verdana"/>
        </w:rPr>
      </w:pPr>
      <w:r w:rsidRPr="00275A2F">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0CAAE76E" w14:textId="3D5D5D2D" w:rsidR="00275A2F" w:rsidRPr="00275A2F" w:rsidRDefault="00275A2F" w:rsidP="00275A2F">
      <w:pPr>
        <w:jc w:val="both"/>
        <w:rPr>
          <w:rFonts w:ascii="Verdana" w:hAnsi="Verdana"/>
        </w:rPr>
      </w:pPr>
      <w:r w:rsidRPr="00275A2F">
        <w:rPr>
          <w:rFonts w:ascii="Verdana" w:hAnsi="Verdana"/>
        </w:rPr>
        <w:t>En ese sentido, la función que le corresponde a los Defensores de Familia en el restablecimiento de derechos de los niños, las niñas y los adolescentes, no se circunscribe solamente a aquellos casos en que se evidencia una vulneración de sus derechos, sino también en prevenir que ello ocurra.</w:t>
      </w:r>
    </w:p>
    <w:p w14:paraId="40F91188" w14:textId="41CC6096" w:rsidR="00275A2F" w:rsidRPr="00275A2F" w:rsidRDefault="00275A2F" w:rsidP="00275A2F">
      <w:pPr>
        <w:jc w:val="both"/>
        <w:rPr>
          <w:rFonts w:ascii="Verdana" w:hAnsi="Verdana"/>
        </w:rPr>
      </w:pPr>
      <w:r w:rsidRPr="00275A2F">
        <w:rPr>
          <w:rFonts w:ascii="Verdana" w:hAnsi="Verdana"/>
        </w:rPr>
        <w:t xml:space="preserve">El artículo 82 de la Ley 1098 de 2006 atribuye, en otras, </w:t>
      </w:r>
      <w:proofErr w:type="gramStart"/>
      <w:r w:rsidRPr="00275A2F">
        <w:rPr>
          <w:rFonts w:ascii="Verdana" w:hAnsi="Verdana"/>
        </w:rPr>
        <w:t>las siguiente función</w:t>
      </w:r>
      <w:proofErr w:type="gramEnd"/>
      <w:r w:rsidRPr="00275A2F">
        <w:rPr>
          <w:rFonts w:ascii="Verdana" w:hAnsi="Verdana"/>
        </w:rPr>
        <w:t xml:space="preserve"> a los Defensores de Familia: “3. Emitir los conceptos ordenados por la ley, en las actuaciones judiciales o administrativas.”</w:t>
      </w:r>
    </w:p>
    <w:p w14:paraId="7AA9B7AC" w14:textId="58A24125" w:rsidR="00275A2F" w:rsidRPr="00275A2F" w:rsidRDefault="00275A2F" w:rsidP="00275A2F">
      <w:pPr>
        <w:jc w:val="both"/>
        <w:rPr>
          <w:rFonts w:ascii="Verdana" w:hAnsi="Verdana"/>
        </w:rPr>
      </w:pPr>
      <w:r w:rsidRPr="00275A2F">
        <w:rPr>
          <w:rFonts w:ascii="Verdana" w:hAnsi="Verdana"/>
        </w:rPr>
        <w:t>A nuestro juicio, dicha función debe ser interpretada en forma armónica con las demás disposiciones de nuestro ordenamiento jurídico, bajo el entendido de que las normas contenidas en el Código de la Infancia y la Adolescencia sobre los niños, las niñas y los adolescentes, son de orden público, de carácter irrenunciable y los principios y reglas con ellas consagrados se aplicarán preferentemente frente a las disposiciones contenidas en otras leyes.[5]</w:t>
      </w:r>
    </w:p>
    <w:p w14:paraId="5FBD3A82" w14:textId="63A9FC6F" w:rsidR="00275A2F" w:rsidRPr="00275A2F" w:rsidRDefault="00275A2F" w:rsidP="00275A2F">
      <w:pPr>
        <w:jc w:val="both"/>
        <w:rPr>
          <w:rFonts w:ascii="Verdana" w:hAnsi="Verdana"/>
        </w:rPr>
      </w:pPr>
      <w:r w:rsidRPr="00275A2F">
        <w:rPr>
          <w:rFonts w:ascii="Verdana" w:hAnsi="Verdana"/>
        </w:rPr>
        <w:t>Así las cosas, y en cumplimiento de la prevalencia de los derechos de los menores de edad, de existir conflicto entre dos o más disposiciones legales, se aplicarán las normas más favorables al interés superior del niño, niña o adolescente, esto es la materialización integral de sus derechos.</w:t>
      </w:r>
    </w:p>
    <w:p w14:paraId="6A2F4D8F" w14:textId="0B461FEB" w:rsidR="00275A2F" w:rsidRPr="00275A2F" w:rsidRDefault="00275A2F" w:rsidP="00275A2F">
      <w:pPr>
        <w:jc w:val="both"/>
        <w:rPr>
          <w:rFonts w:ascii="Verdana" w:hAnsi="Verdana"/>
        </w:rPr>
      </w:pPr>
      <w:r w:rsidRPr="00275A2F">
        <w:rPr>
          <w:rFonts w:ascii="Verdana" w:hAnsi="Verdana"/>
        </w:rPr>
        <w:t>De otra parte, el artículo 83 de la Ley de Infancia y la Adolescencia, define las Comisarías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w:t>
      </w:r>
    </w:p>
    <w:p w14:paraId="4D028196" w14:textId="1C433BF0" w:rsidR="00275A2F" w:rsidRPr="00275A2F" w:rsidRDefault="00275A2F" w:rsidP="00275A2F">
      <w:pPr>
        <w:jc w:val="both"/>
        <w:rPr>
          <w:rFonts w:ascii="Verdana" w:hAnsi="Verdana"/>
        </w:rPr>
      </w:pPr>
      <w:r w:rsidRPr="00275A2F">
        <w:rPr>
          <w:rFonts w:ascii="Verdana" w:hAnsi="Verdana"/>
        </w:rPr>
        <w:t>Las Comisarías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de acuerdo al artículo 96 de la Ley 1098 de 2006.</w:t>
      </w:r>
    </w:p>
    <w:p w14:paraId="45815134" w14:textId="5A5F1730" w:rsidR="00275A2F" w:rsidRPr="00275A2F" w:rsidRDefault="00275A2F" w:rsidP="00275A2F">
      <w:pPr>
        <w:jc w:val="both"/>
        <w:rPr>
          <w:rFonts w:ascii="Verdana" w:hAnsi="Verdana"/>
        </w:rPr>
      </w:pPr>
      <w:r w:rsidRPr="00275A2F">
        <w:rPr>
          <w:rFonts w:ascii="Verdana" w:hAnsi="Verdana"/>
        </w:rPr>
        <w:t>2.3 La competencia subsidiaria prevista en la Ley 1098 de 2006</w:t>
      </w:r>
    </w:p>
    <w:p w14:paraId="7EA06A38" w14:textId="0D0984B3" w:rsidR="00275A2F" w:rsidRPr="00275A2F" w:rsidRDefault="00275A2F" w:rsidP="00275A2F">
      <w:pPr>
        <w:jc w:val="both"/>
        <w:rPr>
          <w:rFonts w:ascii="Verdana" w:hAnsi="Verdana"/>
        </w:rPr>
      </w:pPr>
      <w:r w:rsidRPr="00275A2F">
        <w:rPr>
          <w:rFonts w:ascii="Verdana" w:hAnsi="Verdana"/>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0F6195B2" w14:textId="41348EF5" w:rsidR="00275A2F" w:rsidRPr="00275A2F" w:rsidRDefault="00275A2F" w:rsidP="00275A2F">
      <w:pPr>
        <w:jc w:val="both"/>
        <w:rPr>
          <w:rFonts w:ascii="Verdana" w:hAnsi="Verdana"/>
        </w:rPr>
      </w:pPr>
      <w:r w:rsidRPr="00275A2F">
        <w:rPr>
          <w:rFonts w:ascii="Verdana" w:hAnsi="Verdana"/>
        </w:rPr>
        <w:lastRenderedPageBreak/>
        <w:t>La figura de la competencia subsidiaria, se encuentra contemplada en el artículo 98 de la citada Ley así: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1AC34DCE" w14:textId="185D353B" w:rsidR="00275A2F" w:rsidRPr="00275A2F" w:rsidRDefault="00275A2F" w:rsidP="00275A2F">
      <w:pPr>
        <w:jc w:val="both"/>
        <w:rPr>
          <w:rFonts w:ascii="Verdana" w:hAnsi="Verdana"/>
        </w:rPr>
      </w:pPr>
      <w:r w:rsidRPr="00275A2F">
        <w:rPr>
          <w:rFonts w:ascii="Verdana" w:hAnsi="Verdana"/>
        </w:rPr>
        <w:t xml:space="preserve">En ese sentido, la competencia que se le otorga al Comisario de Familia de asumir las funciones del Defensor de Familia es de carácter supletorio, en el entendido </w:t>
      </w:r>
      <w:proofErr w:type="gramStart"/>
      <w:r w:rsidRPr="00275A2F">
        <w:rPr>
          <w:rFonts w:ascii="Verdana" w:hAnsi="Verdana"/>
        </w:rPr>
        <w:t>que</w:t>
      </w:r>
      <w:proofErr w:type="gramEnd"/>
      <w:r w:rsidRPr="00275A2F">
        <w:rPr>
          <w:rFonts w:ascii="Verdana" w:hAnsi="Verdana"/>
        </w:rPr>
        <w:t xml:space="preserve"> en ausencia de éste, es la autoridad administrativa mejor capacitada para asumir dicha labor.</w:t>
      </w:r>
    </w:p>
    <w:p w14:paraId="180E4AA2" w14:textId="4ACFE54F" w:rsidR="00275A2F" w:rsidRPr="00275A2F" w:rsidRDefault="00275A2F" w:rsidP="00275A2F">
      <w:pPr>
        <w:jc w:val="both"/>
        <w:rPr>
          <w:rFonts w:ascii="Verdana" w:hAnsi="Verdana"/>
        </w:rPr>
      </w:pPr>
      <w:r w:rsidRPr="00275A2F">
        <w:rPr>
          <w:rFonts w:ascii="Verdana" w:hAnsi="Verdana"/>
        </w:rPr>
        <w:t>Con la finalidad de establecer directrices claras de interpretación normativa, mediante el Decreto 4840 de 2007, se desarrolla el artículo precedente y se consagra cuando existe o no, Defensor de Familia en un municipio, y que funciones pueden ser delegables:</w:t>
      </w:r>
    </w:p>
    <w:p w14:paraId="1CD9F908" w14:textId="5FA1B902" w:rsidR="00275A2F" w:rsidRPr="00275A2F" w:rsidRDefault="00275A2F" w:rsidP="00275A2F">
      <w:pPr>
        <w:jc w:val="both"/>
        <w:rPr>
          <w:rFonts w:ascii="Verdana" w:hAnsi="Verdana"/>
        </w:rPr>
      </w:pPr>
      <w:r w:rsidRPr="00275A2F">
        <w:rPr>
          <w:rFonts w:ascii="Verdana" w:hAnsi="Verdana"/>
        </w:rPr>
        <w:t>"Art. 7. 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 (...) 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w:t>
      </w:r>
    </w:p>
    <w:p w14:paraId="5CBDF3D2" w14:textId="5A437125" w:rsidR="00275A2F" w:rsidRPr="00275A2F" w:rsidRDefault="00275A2F" w:rsidP="00275A2F">
      <w:pPr>
        <w:jc w:val="both"/>
        <w:rPr>
          <w:rFonts w:ascii="Verdana" w:hAnsi="Verdana"/>
        </w:rPr>
      </w:pPr>
      <w:r w:rsidRPr="00275A2F">
        <w:rPr>
          <w:rFonts w:ascii="Verdana" w:hAnsi="Verdana"/>
        </w:rPr>
        <w:t>Como se expone, la competencia subsidiaria incluye todas las funciones que la ley 1098 de 2006 asigna al Defensor de Familia, 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Consulta Civil, donde se decide un conflicto de competencia, en un municipio donde no hay Defensor de Familia:</w:t>
      </w:r>
    </w:p>
    <w:p w14:paraId="6AF340DD" w14:textId="6858761A" w:rsidR="00275A2F" w:rsidRPr="00275A2F" w:rsidRDefault="00275A2F" w:rsidP="00275A2F">
      <w:pPr>
        <w:jc w:val="both"/>
        <w:rPr>
          <w:rFonts w:ascii="Verdana" w:hAnsi="Verdana"/>
        </w:rPr>
      </w:pPr>
      <w:r w:rsidRPr="00275A2F">
        <w:rPr>
          <w:rFonts w:ascii="Verdana" w:hAnsi="Verdana"/>
        </w:rPr>
        <w:t xml:space="preserve">"Entonces debe entrarse a mirar si hay Defensor de Familia en el municipio de </w:t>
      </w:r>
      <w:proofErr w:type="spellStart"/>
      <w:r w:rsidRPr="00275A2F">
        <w:rPr>
          <w:rFonts w:ascii="Verdana" w:hAnsi="Verdana"/>
        </w:rPr>
        <w:t>Chachaguí</w:t>
      </w:r>
      <w:proofErr w:type="spellEnd"/>
      <w:r w:rsidRPr="00275A2F">
        <w:rPr>
          <w:rFonts w:ascii="Verdana" w:hAnsi="Verdana"/>
        </w:rPr>
        <w:t xml:space="preserve">, pues como se señaló anteriormente por el factor territorial, la autoridad debe ser la del lugar donde se encuentre el menor. En </w:t>
      </w:r>
      <w:proofErr w:type="gramStart"/>
      <w:r w:rsidRPr="00275A2F">
        <w:rPr>
          <w:rFonts w:ascii="Verdana" w:hAnsi="Verdana"/>
        </w:rPr>
        <w:t>consecuencia</w:t>
      </w:r>
      <w:proofErr w:type="gramEnd"/>
      <w:r w:rsidRPr="00275A2F">
        <w:rPr>
          <w:rFonts w:ascii="Verdana" w:hAnsi="Verdana"/>
        </w:rPr>
        <w:t xml:space="preserve"> según lo señalado por la Defensoría de Familia, como en el municipio de </w:t>
      </w:r>
      <w:proofErr w:type="spellStart"/>
      <w:r w:rsidRPr="00275A2F">
        <w:rPr>
          <w:rFonts w:ascii="Verdana" w:hAnsi="Verdana"/>
        </w:rPr>
        <w:t>Chachaguí</w:t>
      </w:r>
      <w:proofErr w:type="spellEnd"/>
      <w:r w:rsidRPr="00275A2F">
        <w:rPr>
          <w:rFonts w:ascii="Verdana" w:hAnsi="Verdana"/>
        </w:rPr>
        <w:t xml:space="preserve"> no hay Defensor de Familia, ha de acudirse al Código de la Infancia y la Adolescencia que establece una competencia subsidiaria,[7] con el fin de no dejar sin protección a los niños, niñas y adolescentes, garantizándoles la atención en todos los distritos y municipios del país; en efecto la ley 1098 de 2006 en su artículo 98 señala la forma como opera dicha competencia. (….) Por lo </w:t>
      </w:r>
      <w:proofErr w:type="gramStart"/>
      <w:r w:rsidRPr="00275A2F">
        <w:rPr>
          <w:rFonts w:ascii="Verdana" w:hAnsi="Verdana"/>
        </w:rPr>
        <w:t>tanto</w:t>
      </w:r>
      <w:proofErr w:type="gramEnd"/>
      <w:r w:rsidRPr="00275A2F">
        <w:rPr>
          <w:rFonts w:ascii="Verdana" w:hAnsi="Verdana"/>
        </w:rPr>
        <w:t xml:space="preserve"> al no haber un Defensor de Familia en el municipio de </w:t>
      </w:r>
      <w:proofErr w:type="spellStart"/>
      <w:r w:rsidRPr="00275A2F">
        <w:rPr>
          <w:rFonts w:ascii="Verdana" w:hAnsi="Verdana"/>
        </w:rPr>
        <w:t>Chachaguí</w:t>
      </w:r>
      <w:proofErr w:type="spellEnd"/>
      <w:r w:rsidRPr="00275A2F">
        <w:rPr>
          <w:rFonts w:ascii="Verdana" w:hAnsi="Verdana"/>
        </w:rPr>
        <w:t xml:space="preserve">, es el Comisario de Familia quien tiene el deber de cumplir con las funciones atribuidas </w:t>
      </w:r>
      <w:r w:rsidRPr="00275A2F">
        <w:rPr>
          <w:rFonts w:ascii="Verdana" w:hAnsi="Verdana"/>
        </w:rPr>
        <w:lastRenderedPageBreak/>
        <w:t>al Defensor en ese Municipio, la única función intransferible es la declaratoria de adoptabilidad”, la cual no corresponde al caso objeto de estudio”.[8] (Subrayado fuera del texto).</w:t>
      </w:r>
    </w:p>
    <w:p w14:paraId="1E1F665F" w14:textId="24B79F3C" w:rsidR="00275A2F" w:rsidRPr="00275A2F" w:rsidRDefault="00275A2F" w:rsidP="00275A2F">
      <w:pPr>
        <w:jc w:val="both"/>
        <w:rPr>
          <w:rFonts w:ascii="Verdana" w:hAnsi="Verdana"/>
        </w:rPr>
      </w:pPr>
      <w:r w:rsidRPr="00275A2F">
        <w:rPr>
          <w:rFonts w:ascii="Verdana" w:hAnsi="Verdana"/>
        </w:rPr>
        <w:t>2.4 El trámite de divorcio ante Notario Público</w:t>
      </w:r>
    </w:p>
    <w:p w14:paraId="667E15A2" w14:textId="4C79F5E4" w:rsidR="00275A2F" w:rsidRPr="00275A2F" w:rsidRDefault="00275A2F" w:rsidP="00275A2F">
      <w:pPr>
        <w:jc w:val="both"/>
        <w:rPr>
          <w:rFonts w:ascii="Verdana" w:hAnsi="Verdana"/>
        </w:rPr>
      </w:pPr>
      <w:r w:rsidRPr="00275A2F">
        <w:rPr>
          <w:rFonts w:ascii="Verdana" w:hAnsi="Verdana"/>
        </w:rPr>
        <w:t>Mediante la Ley 962 del 8 de julio de 2005 se autorizó la presentación de divorcio ante notario público por mutuo acuerdo. Al Respecto, en el artículo 34 de la citada disposición se contempla: “Podrá convenirse ante notario, por mutuo acuerdo de los cónyuges, por intermedio de abogado, mediante escritura pública, la cesación de los efectos civiles de todo matrimonio religioso y el divorcio del matrimonio civil, sin perjuicio de la competencia asignada a los jueces por la ley. El divorcio y la cesación de los efectos civiles ante notario, producirán los mismos efectos que el decretado judicialmente (…)”.</w:t>
      </w:r>
    </w:p>
    <w:p w14:paraId="399A9325" w14:textId="7DDAF927" w:rsidR="00275A2F" w:rsidRPr="00275A2F" w:rsidRDefault="00275A2F" w:rsidP="00275A2F">
      <w:pPr>
        <w:jc w:val="both"/>
        <w:rPr>
          <w:rFonts w:ascii="Verdana" w:hAnsi="Verdana"/>
        </w:rPr>
      </w:pPr>
      <w:r w:rsidRPr="00275A2F">
        <w:rPr>
          <w:rFonts w:ascii="Verdana" w:hAnsi="Verdana"/>
        </w:rPr>
        <w:t>La petición de divorcio del matrimonio o la cesación de los efectos civiles de los matrimonios religiosos, debe contener según el artículo segundo del Decreto 4436 de 2005, entre otros:</w:t>
      </w:r>
    </w:p>
    <w:p w14:paraId="3371C344" w14:textId="54953864" w:rsidR="00275A2F" w:rsidRPr="00275A2F" w:rsidRDefault="00275A2F" w:rsidP="00275A2F">
      <w:pPr>
        <w:jc w:val="both"/>
        <w:rPr>
          <w:rFonts w:ascii="Verdana" w:hAnsi="Verdana"/>
        </w:rPr>
      </w:pPr>
      <w:r w:rsidRPr="00275A2F">
        <w:rPr>
          <w:rFonts w:ascii="Verdana" w:hAnsi="Verdana"/>
        </w:rPr>
        <w:t>“b). (...) y se informará sobre la existencia de hijos menores de edad;</w:t>
      </w:r>
    </w:p>
    <w:p w14:paraId="3BC1291E" w14:textId="7BA12B77" w:rsidR="00275A2F" w:rsidRPr="00275A2F" w:rsidRDefault="00275A2F" w:rsidP="00275A2F">
      <w:pPr>
        <w:jc w:val="both"/>
        <w:rPr>
          <w:rFonts w:ascii="Verdana" w:hAnsi="Verdana"/>
        </w:rPr>
      </w:pPr>
      <w:r w:rsidRPr="00275A2F">
        <w:rPr>
          <w:rFonts w:ascii="Verdana" w:hAnsi="Verdana"/>
        </w:rPr>
        <w:t xml:space="preserve">c) Si hubiere hijos menores de edad, el acuerdo también comprenderá los siguientes aspectos: la forma en que contribuirán los padres a la crianza, educación y establecimiento de </w:t>
      </w:r>
      <w:proofErr w:type="gramStart"/>
      <w:r w:rsidRPr="00275A2F">
        <w:rPr>
          <w:rFonts w:ascii="Verdana" w:hAnsi="Verdana"/>
        </w:rPr>
        <w:t>los mismos</w:t>
      </w:r>
      <w:proofErr w:type="gramEnd"/>
      <w:r w:rsidRPr="00275A2F">
        <w:rPr>
          <w:rFonts w:ascii="Verdana" w:hAnsi="Verdana"/>
        </w:rPr>
        <w:t xml:space="preserve">, precisando la cuantía de la obligación alimentaria, conforme al artículo 133 del Código del Menor, indicando lugar y forma de su cumplimiento y demás aspectos que se estimen necesarios; custodia y cuidado personal de los menores; y régimen de visitas con la periodicidad de </w:t>
      </w:r>
      <w:proofErr w:type="gramStart"/>
      <w:r w:rsidRPr="00275A2F">
        <w:rPr>
          <w:rFonts w:ascii="Verdana" w:hAnsi="Verdana"/>
        </w:rPr>
        <w:t>las mismas</w:t>
      </w:r>
      <w:proofErr w:type="gramEnd"/>
      <w:r w:rsidRPr="00275A2F">
        <w:rPr>
          <w:rFonts w:ascii="Verdana" w:hAnsi="Verdana"/>
        </w:rPr>
        <w:t xml:space="preserve">; </w:t>
      </w:r>
      <w:proofErr w:type="gramStart"/>
      <w:r w:rsidRPr="00275A2F">
        <w:rPr>
          <w:rFonts w:ascii="Verdana" w:hAnsi="Verdana"/>
        </w:rPr>
        <w:t>(....</w:t>
      </w:r>
      <w:proofErr w:type="gramEnd"/>
      <w:r w:rsidRPr="00275A2F">
        <w:rPr>
          <w:rFonts w:ascii="Verdana" w:hAnsi="Verdana"/>
        </w:rPr>
        <w:t>)”.</w:t>
      </w:r>
    </w:p>
    <w:p w14:paraId="200CD1FD" w14:textId="710D7DF2" w:rsidR="00275A2F" w:rsidRPr="00275A2F" w:rsidRDefault="00275A2F" w:rsidP="00275A2F">
      <w:pPr>
        <w:jc w:val="both"/>
        <w:rPr>
          <w:rFonts w:ascii="Verdana" w:hAnsi="Verdana"/>
        </w:rPr>
      </w:pPr>
      <w:r w:rsidRPr="00275A2F">
        <w:rPr>
          <w:rFonts w:ascii="Verdana" w:hAnsi="Verdana"/>
        </w:rPr>
        <w:t>En virtud de lo anterior, en el evento que haya menores de edad y que se contemple en la petición de divorcio aspectos relacionados con los mismos, el parágrafo del artículo 34 de la Ley 962 de 2005 señala que el acuerdo al que hayan llegado los cónyuges deberá ser enviado al Defensor de Familia, con el propósito de que emita concepto respecto a lo relacionado con los menores de edad.</w:t>
      </w:r>
    </w:p>
    <w:p w14:paraId="141A90BC" w14:textId="2DA5A7B9" w:rsidR="00275A2F" w:rsidRPr="00275A2F" w:rsidRDefault="00275A2F" w:rsidP="00275A2F">
      <w:pPr>
        <w:jc w:val="both"/>
        <w:rPr>
          <w:rFonts w:ascii="Verdana" w:hAnsi="Verdana"/>
        </w:rPr>
      </w:pPr>
      <w:r w:rsidRPr="00275A2F">
        <w:rPr>
          <w:rFonts w:ascii="Verdana" w:hAnsi="Verdana"/>
        </w:rPr>
        <w:t>Así las cosas, en el artículo tercero del Decreto 4436 de 2005 se precisa la intervención del Defensor de Familia en aquellos procesos en que exista acuerdo de los cónyuges para solicitar el divorcio y se esté en presencia de menores de edad.</w:t>
      </w:r>
    </w:p>
    <w:p w14:paraId="637020C0" w14:textId="472032F5" w:rsidR="00275A2F" w:rsidRPr="00275A2F" w:rsidRDefault="00275A2F" w:rsidP="00275A2F">
      <w:pPr>
        <w:jc w:val="both"/>
        <w:rPr>
          <w:rFonts w:ascii="Verdana" w:hAnsi="Verdana"/>
        </w:rPr>
      </w:pPr>
      <w:r w:rsidRPr="00275A2F">
        <w:rPr>
          <w:rFonts w:ascii="Verdana" w:hAnsi="Verdana"/>
        </w:rPr>
        <w:t>Sin embargo, resulta importante denotar que el concepto que se emita por parte del Defensor de Familia en dicho tipo de procesos, también puede ser dado por el Comisario de Familia a falta de aquél, de acuerdo a la competencia subsidiaria fijada en el artículo 98 de la Ley 1098 de 2006,[10] particularmente frente a la función consagrada por el artículo 82 numeral 3 de la Ley 1098 de 2006, esto es emitir los conceptos requeridos por las autoridades administrativas y judiciales.</w:t>
      </w:r>
    </w:p>
    <w:p w14:paraId="62E9C57D" w14:textId="394FB72C" w:rsidR="00275A2F" w:rsidRPr="00275A2F" w:rsidRDefault="00275A2F" w:rsidP="00275A2F">
      <w:pPr>
        <w:jc w:val="both"/>
        <w:rPr>
          <w:rFonts w:ascii="Verdana" w:hAnsi="Verdana"/>
        </w:rPr>
      </w:pPr>
      <w:r w:rsidRPr="00275A2F">
        <w:rPr>
          <w:rFonts w:ascii="Verdana" w:hAnsi="Verdana"/>
        </w:rPr>
        <w:lastRenderedPageBreak/>
        <w:t>2.5 El Patrimonio de Familia</w:t>
      </w:r>
    </w:p>
    <w:p w14:paraId="64814AB1" w14:textId="4232E87A" w:rsidR="00275A2F" w:rsidRPr="00275A2F" w:rsidRDefault="00275A2F" w:rsidP="00275A2F">
      <w:pPr>
        <w:jc w:val="both"/>
        <w:rPr>
          <w:rFonts w:ascii="Verdana" w:hAnsi="Verdana"/>
        </w:rPr>
      </w:pPr>
      <w:r w:rsidRPr="00275A2F">
        <w:rPr>
          <w:rFonts w:ascii="Verdana" w:hAnsi="Verdana"/>
        </w:rPr>
        <w:t>El patrimonio de familia como instrumento de protección constitucional de la familia, es una figura Jurídica por medio de la cual se busca poner a salvo el patrimonio familiar de las pretensiones económicas de terceros y caracterizado por ser un patrimonio especial con calidad de no embargable y cuya constitución puede efectuarse por acto testamentario o por acto entre vivos –Ley 70 de 1931, modificada por la Ley 495 de 1999.- Su finalidad, es la de dar estabilidad y seguridad a todo el núcleo familiar a los menores de edad y al que está por nacer, salvaguardando su vivienda y los bienes necesarios para su supervivencia en unas condiciones dignas.</w:t>
      </w:r>
    </w:p>
    <w:p w14:paraId="65352032" w14:textId="360D73D3" w:rsidR="00275A2F" w:rsidRPr="00275A2F" w:rsidRDefault="00275A2F" w:rsidP="00275A2F">
      <w:pPr>
        <w:jc w:val="both"/>
        <w:rPr>
          <w:rFonts w:ascii="Verdana" w:hAnsi="Verdana"/>
        </w:rPr>
      </w:pPr>
      <w:r w:rsidRPr="00275A2F">
        <w:rPr>
          <w:rFonts w:ascii="Verdana" w:hAnsi="Verdana"/>
        </w:rPr>
        <w:t>Ahora bien, de acuerdo con el artículo 84 del Decreto 019 de 2012, la cancelación o sustitución voluntaria de patrimonio de familia puede tramitarse ante los Notarios, con la intervención del Defensor de Familia.</w:t>
      </w:r>
    </w:p>
    <w:p w14:paraId="0735C043" w14:textId="3D2147E2" w:rsidR="00275A2F" w:rsidRPr="00275A2F" w:rsidRDefault="00275A2F" w:rsidP="00275A2F">
      <w:pPr>
        <w:jc w:val="both"/>
        <w:rPr>
          <w:rFonts w:ascii="Verdana" w:hAnsi="Verdana"/>
        </w:rPr>
      </w:pPr>
      <w:r w:rsidRPr="00275A2F">
        <w:rPr>
          <w:rFonts w:ascii="Verdana" w:hAnsi="Verdana"/>
        </w:rPr>
        <w:t xml:space="preserve">Dicha solicitud debe ser presentada formalmente bajo la gravedad del juramento, en la que se consignará la identificación, nacionalidad y domicilio del solicitante, lo que pretende, un resumen de </w:t>
      </w:r>
      <w:proofErr w:type="spellStart"/>
      <w:r w:rsidRPr="00275A2F">
        <w:rPr>
          <w:rFonts w:ascii="Verdana" w:hAnsi="Verdana"/>
        </w:rPr>
        <w:t>tos</w:t>
      </w:r>
      <w:proofErr w:type="spellEnd"/>
      <w:r w:rsidRPr="00275A2F">
        <w:rPr>
          <w:rFonts w:ascii="Verdana" w:hAnsi="Verdana"/>
        </w:rPr>
        <w:t xml:space="preserve"> hechos en que fundamenta su solicitud, la identificación, nacionalidad y domicilio de los padres del menor de edad beneficiario y los datos de éste último, la dirección del inmueble al que se le quiere cancelar o sustituir el patrimonio de familia, su ubicación, cédula catastral y matrícula inmobiliaria así como del nuevo inmueble dependiendo del caso, indicando que el inmueble se encuentra libre de embargo; igualmente deberá presentarse copia auténtica del registro civil de nacimiento del menor de edad, copia de la escritura pública mediante la cual se constituyó el patrimonio de familia el avalúo catastral de los inmuebles (artículos 85 y 86 del Decreto 019 de 2012).</w:t>
      </w:r>
    </w:p>
    <w:p w14:paraId="69C4145B" w14:textId="40CF87F6" w:rsidR="00275A2F" w:rsidRPr="00275A2F" w:rsidRDefault="00275A2F" w:rsidP="00275A2F">
      <w:pPr>
        <w:jc w:val="both"/>
        <w:rPr>
          <w:rFonts w:ascii="Verdana" w:hAnsi="Verdana"/>
        </w:rPr>
      </w:pPr>
      <w:r w:rsidRPr="00275A2F">
        <w:rPr>
          <w:rFonts w:ascii="Verdana" w:hAnsi="Verdana"/>
        </w:rPr>
        <w:t>El artículo 87 del Decreto 019 de 2012 establece: “INTERVENCIÓN DEL DEFENSOR DE FAMILIA EN EL PROCESO DE SUSTITUCIÓN Y CANCELACIÓN DEL PATRIMONIO DE FAMILIA INEMBARGABLE. Recibida La solicitud de sustitución y cancelación del patrimonio de familia inembargable el notario comunicará al Defensor de Familia para que en el término dé quince (15) días hábiles contados a partir del tercer día hábil siguiente al envío por correo certificado de la comunicación, se pronuncie aceptando, negando o condicionando la cancelación o sustitución del patrimonio de familia sobre el inmueble o inmuebles que se pretenden afectar, con sus respectivos argumentos. Si transcurrido dicho término, el Defensor de Familia no se pronuncia, el Notario continuará el trámite para el otorgamiento de la escritura pública en la que dejará constancia de lo ocurrido. El Defensor de Familia competente será el del lugar de la ubicación del bien inmueble”. Subrayado fuera del texto).</w:t>
      </w:r>
    </w:p>
    <w:p w14:paraId="1E6C2C85" w14:textId="749FC08E" w:rsidR="00275A2F" w:rsidRPr="00275A2F" w:rsidRDefault="00275A2F" w:rsidP="00275A2F">
      <w:pPr>
        <w:jc w:val="both"/>
        <w:rPr>
          <w:rFonts w:ascii="Verdana" w:hAnsi="Verdana"/>
        </w:rPr>
      </w:pPr>
      <w:r w:rsidRPr="00275A2F">
        <w:rPr>
          <w:rFonts w:ascii="Verdana" w:hAnsi="Verdana"/>
        </w:rPr>
        <w:t xml:space="preserve">El Defensor de Familia, a partir del tercer día hábil siguiente al envío de la comunicación se puede pronunciar sobre la sustitución o cancelación de patrimonio de familia, para lo cual deberá emitir su concepto ya sea aceptando, negando o condicionando el acto jurídico dentro de los 15 días hábiles siguientes, </w:t>
      </w:r>
      <w:r w:rsidRPr="00275A2F">
        <w:rPr>
          <w:rFonts w:ascii="Verdana" w:hAnsi="Verdana"/>
        </w:rPr>
        <w:lastRenderedPageBreak/>
        <w:t>argumentando su decisión en la especial protección a la familia y al menor de edad, para garantizar la vivienda y la subsistencia de éstos en condiciones dignas.</w:t>
      </w:r>
    </w:p>
    <w:p w14:paraId="62253D1B" w14:textId="2FAAFFC6" w:rsidR="00275A2F" w:rsidRPr="00275A2F" w:rsidRDefault="00275A2F" w:rsidP="00275A2F">
      <w:pPr>
        <w:jc w:val="both"/>
        <w:rPr>
          <w:rFonts w:ascii="Verdana" w:hAnsi="Verdana"/>
        </w:rPr>
      </w:pPr>
      <w:r w:rsidRPr="00275A2F">
        <w:rPr>
          <w:rFonts w:ascii="Verdana" w:hAnsi="Verdana"/>
        </w:rPr>
        <w:t>La Corte Constitucional en sentencia T-950 de 2004 Magistrado Ponente Dr. Marco Gerardo Monroy Cabra, expresó que:</w:t>
      </w:r>
    </w:p>
    <w:p w14:paraId="0402772B" w14:textId="4E230FE4" w:rsidR="00275A2F" w:rsidRPr="00275A2F" w:rsidRDefault="00275A2F" w:rsidP="00275A2F">
      <w:pPr>
        <w:jc w:val="both"/>
        <w:rPr>
          <w:rFonts w:ascii="Verdana" w:hAnsi="Verdana"/>
        </w:rPr>
      </w:pPr>
      <w:r w:rsidRPr="00275A2F">
        <w:rPr>
          <w:rFonts w:ascii="Verdana" w:hAnsi="Verdana"/>
        </w:rPr>
        <w:t>“La vivienda destinada a la familia goza, en virtud de las disposiciones del constituyente de 1991 (artículo 51), de una especial protección constitucional por cuanto constituye un “mínimo espacio físico, adecuado a su preservación y desarrollo, y absolutamente indispensable para que el conjunto de la sociedad se desenvuelva en armonía”.</w:t>
      </w:r>
    </w:p>
    <w:p w14:paraId="096FEF35" w14:textId="32258A2D" w:rsidR="00275A2F" w:rsidRPr="00275A2F" w:rsidRDefault="00275A2F" w:rsidP="00275A2F">
      <w:pPr>
        <w:jc w:val="both"/>
        <w:rPr>
          <w:rFonts w:ascii="Verdana" w:hAnsi="Verdana"/>
        </w:rPr>
      </w:pPr>
      <w:r w:rsidRPr="00275A2F">
        <w:rPr>
          <w:rFonts w:ascii="Verdana" w:hAnsi="Verdana"/>
        </w:rPr>
        <w:t xml:space="preserve">De otro lado, la protección especial a la vivienda destinada a la familia compone uno de los presupuestos ineludibles para dar garantía eficaz al desarrollo armónico e integral de los niños, toda vez que </w:t>
      </w:r>
      <w:proofErr w:type="gramStart"/>
      <w:r w:rsidRPr="00275A2F">
        <w:rPr>
          <w:rFonts w:ascii="Verdana" w:hAnsi="Verdana"/>
        </w:rPr>
        <w:t>el ejercicio pleno de los derechos fundamentales de los menores no pueden</w:t>
      </w:r>
      <w:proofErr w:type="gramEnd"/>
      <w:r w:rsidRPr="00275A2F">
        <w:rPr>
          <w:rFonts w:ascii="Verdana" w:hAnsi="Verdana"/>
        </w:rPr>
        <w:t xml:space="preserve"> materializarse si carecen de habitación digna o si corren el nesgo de perderla.”</w:t>
      </w:r>
    </w:p>
    <w:p w14:paraId="5DA12643" w14:textId="6532ACD9" w:rsidR="00275A2F" w:rsidRPr="00275A2F" w:rsidRDefault="00275A2F" w:rsidP="00275A2F">
      <w:pPr>
        <w:jc w:val="both"/>
        <w:rPr>
          <w:rFonts w:ascii="Verdana" w:hAnsi="Verdana"/>
        </w:rPr>
      </w:pPr>
      <w:r w:rsidRPr="00275A2F">
        <w:rPr>
          <w:rFonts w:ascii="Verdana" w:hAnsi="Verdana"/>
        </w:rPr>
        <w:t xml:space="preserve">Así las cosas, el Defensor de Familia debe propender por la materialización plena del interés superior de los niños, niñas y adolescentes y de su familia contenido en el artículo 44 de la Constitución Política. El pronunciamiento del Defensor de Familia en el trámite notarial no es susceptible de ningún recurso, por lo que, en baso ser negativo, el Notario perdería competencia por no tener la posibilidad de apartarse del concepto del Defensor de Familia; así las </w:t>
      </w:r>
      <w:proofErr w:type="gramStart"/>
      <w:r w:rsidRPr="00275A2F">
        <w:rPr>
          <w:rFonts w:ascii="Verdana" w:hAnsi="Verdana"/>
        </w:rPr>
        <w:t>cosas</w:t>
      </w:r>
      <w:proofErr w:type="gramEnd"/>
      <w:r w:rsidRPr="00275A2F">
        <w:rPr>
          <w:rFonts w:ascii="Verdana" w:hAnsi="Verdana"/>
        </w:rPr>
        <w:t xml:space="preserve"> el interesado deberá acudir al proceso judicial ante el Juez de Familia competente.</w:t>
      </w:r>
    </w:p>
    <w:p w14:paraId="30A30B6F" w14:textId="641DEC21" w:rsidR="00275A2F" w:rsidRPr="00275A2F" w:rsidRDefault="00275A2F" w:rsidP="00275A2F">
      <w:pPr>
        <w:jc w:val="both"/>
        <w:rPr>
          <w:rFonts w:ascii="Verdana" w:hAnsi="Verdana"/>
        </w:rPr>
      </w:pPr>
      <w:r w:rsidRPr="00275A2F">
        <w:rPr>
          <w:rFonts w:ascii="Verdana" w:hAnsi="Verdana"/>
        </w:rPr>
        <w:t>Finalmente, es importante aclarar respecto de la competencia territorial del Defensor de Familia, que la exigencia legal refiere que el competente para pronunciarse sobre la cancelación o sustitución del patrimonio de familia es el Defensor correspondiente al sitio donde se encuentra ubicado el bien inmueble, y en caso de que no haya Defensor de Familia, el competente para pronunciarse será el Comisario de Familia, de acuerdo a la competencia subsidiaria prevista en el artículo 98 de la Ley 1098 de 2006, en concordancia con el artículo 82 numeral 3 de la Ley 1098 de 2006.</w:t>
      </w:r>
    </w:p>
    <w:p w14:paraId="16F26759" w14:textId="6AF88C05" w:rsidR="00275A2F" w:rsidRPr="00275A2F" w:rsidRDefault="00275A2F" w:rsidP="00275A2F">
      <w:pPr>
        <w:jc w:val="both"/>
        <w:rPr>
          <w:rFonts w:ascii="Verdana" w:hAnsi="Verdana"/>
        </w:rPr>
      </w:pPr>
      <w:r w:rsidRPr="00275A2F">
        <w:rPr>
          <w:rFonts w:ascii="Verdana" w:hAnsi="Verdana"/>
        </w:rPr>
        <w:t>2.6 Caso Concreto</w:t>
      </w:r>
    </w:p>
    <w:p w14:paraId="28BBC82D" w14:textId="5C209A72" w:rsidR="00275A2F" w:rsidRPr="00275A2F" w:rsidRDefault="00275A2F" w:rsidP="00275A2F">
      <w:pPr>
        <w:jc w:val="both"/>
        <w:rPr>
          <w:rFonts w:ascii="Verdana" w:hAnsi="Verdana"/>
        </w:rPr>
      </w:pPr>
      <w:r w:rsidRPr="00275A2F">
        <w:rPr>
          <w:rFonts w:ascii="Verdana" w:hAnsi="Verdana"/>
        </w:rPr>
        <w:t>Si bien es cierto que la Ley 1098 de 2006 al referirse a la competencia subsidiaria dispone que las funciones atribuidas al Defensor de Familia en el Código de la Infancia y la Adolescencia, deben ser cumplidas por los Comisarios de Familia en los municipios en donde no existan los primeros. En ese orden de ideas cabe mencionar que la ley 1098 de 2006 establece de forma expresa que al Defensor de Familia le asiste la función de emitir los conceptos que sean requeridos por las autoridades administrativas y judiciales.</w:t>
      </w:r>
    </w:p>
    <w:p w14:paraId="2F2DCADF" w14:textId="69D1E05A" w:rsidR="00275A2F" w:rsidRPr="00275A2F" w:rsidRDefault="00275A2F" w:rsidP="00275A2F">
      <w:pPr>
        <w:jc w:val="both"/>
        <w:rPr>
          <w:rFonts w:ascii="Verdana" w:hAnsi="Verdana"/>
        </w:rPr>
      </w:pPr>
      <w:r w:rsidRPr="00275A2F">
        <w:rPr>
          <w:rFonts w:ascii="Verdana" w:hAnsi="Verdana"/>
        </w:rPr>
        <w:t xml:space="preserve">Así las cosas, y en cumplimiento del principio del interés superior, de la prevalencia de los derechos de los menores de edad, de la preferencia en la </w:t>
      </w:r>
      <w:r w:rsidRPr="00275A2F">
        <w:rPr>
          <w:rFonts w:ascii="Verdana" w:hAnsi="Verdana"/>
        </w:rPr>
        <w:lastRenderedPageBreak/>
        <w:t>aplicación de las normas de la Ley 1098 de 2006, en los municipios donde no exista Defensor de Familia, el Comisario de Familia es la autoridad administrativa competente para emitir los conceptos para acuerdos de divorcio y cancelación de patrimonio de familia inembargable ante Notario.</w:t>
      </w:r>
    </w:p>
    <w:p w14:paraId="64E8305F" w14:textId="3398CDD7" w:rsidR="00275A2F" w:rsidRPr="00275A2F" w:rsidRDefault="00275A2F" w:rsidP="00275A2F">
      <w:pPr>
        <w:jc w:val="both"/>
        <w:rPr>
          <w:rFonts w:ascii="Verdana" w:hAnsi="Verdana"/>
          <w:b/>
          <w:bCs/>
        </w:rPr>
      </w:pPr>
      <w:r w:rsidRPr="00275A2F">
        <w:rPr>
          <w:rFonts w:ascii="Verdana" w:hAnsi="Verdana"/>
          <w:b/>
          <w:bCs/>
        </w:rPr>
        <w:t>3. CONCLUSIONES</w:t>
      </w:r>
    </w:p>
    <w:p w14:paraId="6FC1F30E" w14:textId="081D6F3A" w:rsidR="00275A2F" w:rsidRPr="00275A2F" w:rsidRDefault="00275A2F" w:rsidP="00275A2F">
      <w:pPr>
        <w:jc w:val="both"/>
        <w:rPr>
          <w:rFonts w:ascii="Verdana" w:hAnsi="Verdana"/>
        </w:rPr>
      </w:pPr>
      <w:r w:rsidRPr="00275A2F">
        <w:rPr>
          <w:rFonts w:ascii="Verdana" w:hAnsi="Verdana"/>
        </w:rPr>
        <w:t>En este orden de ideas, y teniendo en cuenta las consideraciones de orden legal analizadas, podemos concluir:</w:t>
      </w:r>
    </w:p>
    <w:p w14:paraId="65AEBA08" w14:textId="6C40A76F" w:rsidR="00275A2F" w:rsidRPr="00275A2F" w:rsidRDefault="00275A2F" w:rsidP="00275A2F">
      <w:pPr>
        <w:jc w:val="both"/>
        <w:rPr>
          <w:rFonts w:ascii="Verdana" w:hAnsi="Verdana"/>
        </w:rPr>
      </w:pPr>
      <w:r w:rsidRPr="00275A2F">
        <w:rPr>
          <w:rFonts w:ascii="Verdana" w:hAnsi="Verdana"/>
        </w:rPr>
        <w:t>Primero: Las Defensorías de Familia son dependencias del Instituto Colombiano de Bienestar Familiar de naturaleza multidisciplinaria, sus funciones van dirigidas a la protección integral de los derechos de los menores de edad, a fin de evitar su amenaza, inobservancia o vulneración y restablecerlos de manera eficaz, oportuna y efectiva.</w:t>
      </w:r>
    </w:p>
    <w:p w14:paraId="21BE895A" w14:textId="07644357" w:rsidR="00275A2F" w:rsidRPr="00275A2F" w:rsidRDefault="00275A2F" w:rsidP="00275A2F">
      <w:pPr>
        <w:jc w:val="both"/>
        <w:rPr>
          <w:rFonts w:ascii="Verdana" w:hAnsi="Verdana"/>
        </w:rPr>
      </w:pPr>
      <w:r w:rsidRPr="00275A2F">
        <w:rPr>
          <w:rFonts w:ascii="Verdana" w:hAnsi="Verdana"/>
        </w:rPr>
        <w:t>Segundo: Las Comisarias de Familia son entidades distritales o municipales o intermunicipales de carácter administrativo e interdisciplinario, que hacen parte del Sistema Nacional de Bienestar Familiar, y su misión es prevenir, garantizar, restablecer y reparar los derechos de los miembros de la familia conculcados por situaciones de violencia intrafamiliar y las demás establecidas por la ley.</w:t>
      </w:r>
    </w:p>
    <w:p w14:paraId="3AEAC2D3" w14:textId="2C781761" w:rsidR="00275A2F" w:rsidRPr="00275A2F" w:rsidRDefault="00275A2F" w:rsidP="00275A2F">
      <w:pPr>
        <w:jc w:val="both"/>
        <w:rPr>
          <w:rFonts w:ascii="Verdana" w:hAnsi="Verdana"/>
        </w:rPr>
      </w:pPr>
      <w:r w:rsidRPr="00275A2F">
        <w:rPr>
          <w:rFonts w:ascii="Verdana" w:hAnsi="Verdana"/>
        </w:rPr>
        <w:t>Tercero: Se entiende por competencia subsidiaria (artículo 98 de la Ley 1098 de 2006) las funciones que ejercerá el Comisario de Familia o Inspector de Policía en los municipios donde no hay Defensor de Familia, salvo la declaratoria de adoptabilidad que es competencia exclusiva del Defensor de Familia. En los municipios donde el Instituto Colombiano de Bienestar Familiar no haya designado Defensor de Familia por competencia subsidiaria, sus funciones serán asumidas por el Comisario de Familia, en ausencia de éste, corresponderán al Inspector de Policía.</w:t>
      </w:r>
    </w:p>
    <w:p w14:paraId="6513E3E9" w14:textId="200665B3" w:rsidR="00275A2F" w:rsidRPr="00275A2F" w:rsidRDefault="00275A2F" w:rsidP="00275A2F">
      <w:pPr>
        <w:jc w:val="both"/>
        <w:rPr>
          <w:rFonts w:ascii="Verdana" w:hAnsi="Verdana"/>
        </w:rPr>
      </w:pPr>
      <w:r w:rsidRPr="00275A2F">
        <w:rPr>
          <w:rFonts w:ascii="Verdana" w:hAnsi="Verdana"/>
        </w:rPr>
        <w:t xml:space="preserve">Por </w:t>
      </w:r>
      <w:proofErr w:type="gramStart"/>
      <w:r w:rsidRPr="00275A2F">
        <w:rPr>
          <w:rFonts w:ascii="Verdana" w:hAnsi="Verdana"/>
        </w:rPr>
        <w:t>último</w:t>
      </w:r>
      <w:proofErr w:type="gramEnd"/>
      <w:r w:rsidRPr="00275A2F">
        <w:rPr>
          <w:rFonts w:ascii="Verdana" w:hAnsi="Verdana"/>
        </w:rPr>
        <w:t xml:space="preserve"> es preciso indicar que el presente concepto no es de obligatorio cumplimiento o ejecución para particulares o agentes externos, de conformidad con lo establecido en el artículo 28 de la ley 1447 &lt;sic&gt; de 2011, Código de Procedimiento Administrativo y de lo Contencioso Administrativo. No </w:t>
      </w:r>
      <w:proofErr w:type="gramStart"/>
      <w:r w:rsidRPr="00275A2F">
        <w:rPr>
          <w:rFonts w:ascii="Verdana" w:hAnsi="Verdana"/>
        </w:rPr>
        <w:t>obstante</w:t>
      </w:r>
      <w:proofErr w:type="gramEnd"/>
      <w:r w:rsidRPr="00275A2F">
        <w:rPr>
          <w:rFonts w:ascii="Verdana" w:hAnsi="Verdana"/>
        </w:rPr>
        <w:t xml:space="preserve"> lo anterior, tiene carácter vinculante para las dependencias infernas del Instituto y terceros que colaboren en la prestación del servicio público o en el desarrollo de la función administrativa de competencia del ICBF, en virtud de la función asignada a la Oficina Asesora Jurídica de mantener la unidad doctrinaría e impartir las directrices jurídicas necesarias para el desarrollo de las funciones del Instituto, de conformidad con los numerales 8 y 15 del Decreto 987 de 2012.</w:t>
      </w:r>
    </w:p>
    <w:p w14:paraId="7CD6BDEB" w14:textId="241F7855" w:rsidR="00275A2F" w:rsidRPr="00275A2F" w:rsidRDefault="00275A2F" w:rsidP="00275A2F">
      <w:pPr>
        <w:jc w:val="both"/>
        <w:rPr>
          <w:rFonts w:ascii="Verdana" w:hAnsi="Verdana"/>
        </w:rPr>
      </w:pPr>
      <w:r w:rsidRPr="00275A2F">
        <w:rPr>
          <w:rFonts w:ascii="Verdana" w:hAnsi="Verdana"/>
        </w:rPr>
        <w:t>Para finalizar le recordamos que las solicitudes de concepto que se sometan a consideración de la Oficina Asesora Jurídica, deben cumplir los requisitos señalados en la Circular No. 002 del 19 de enero del 2012.</w:t>
      </w:r>
    </w:p>
    <w:p w14:paraId="363BEA68" w14:textId="66581517" w:rsidR="00275A2F" w:rsidRPr="00275A2F" w:rsidRDefault="00275A2F" w:rsidP="00275A2F">
      <w:pPr>
        <w:jc w:val="both"/>
        <w:rPr>
          <w:rFonts w:ascii="Verdana" w:hAnsi="Verdana"/>
        </w:rPr>
      </w:pPr>
      <w:r w:rsidRPr="00275A2F">
        <w:rPr>
          <w:rFonts w:ascii="Verdana" w:hAnsi="Verdana"/>
        </w:rPr>
        <w:t>Cordialmente,</w:t>
      </w:r>
    </w:p>
    <w:p w14:paraId="134F977B" w14:textId="0249741D" w:rsidR="00275A2F" w:rsidRPr="00275A2F" w:rsidRDefault="00275A2F" w:rsidP="00BC66D2">
      <w:pPr>
        <w:rPr>
          <w:rFonts w:ascii="Verdana" w:hAnsi="Verdana"/>
          <w:b/>
          <w:bCs/>
        </w:rPr>
      </w:pPr>
      <w:r w:rsidRPr="00275A2F">
        <w:rPr>
          <w:rFonts w:ascii="Verdana" w:hAnsi="Verdana"/>
          <w:b/>
          <w:bCs/>
        </w:rPr>
        <w:t>LUISA MARINA BALLESTEROS ARISTIZABAL</w:t>
      </w:r>
    </w:p>
    <w:p w14:paraId="2A6C73CD" w14:textId="090F0383" w:rsidR="00275A2F" w:rsidRPr="00275A2F" w:rsidRDefault="00275A2F" w:rsidP="00BC66D2">
      <w:pPr>
        <w:rPr>
          <w:rFonts w:ascii="Verdana" w:hAnsi="Verdana"/>
        </w:rPr>
      </w:pPr>
      <w:r w:rsidRPr="00275A2F">
        <w:rPr>
          <w:rFonts w:ascii="Verdana" w:hAnsi="Verdana"/>
        </w:rPr>
        <w:lastRenderedPageBreak/>
        <w:t>JEFE OFICINA ASESORA JURÍDICA</w:t>
      </w:r>
    </w:p>
    <w:p w14:paraId="4D3CC2A5" w14:textId="77777777" w:rsidR="00BC66D2" w:rsidRDefault="00BC66D2" w:rsidP="00275A2F">
      <w:pPr>
        <w:jc w:val="both"/>
        <w:rPr>
          <w:rFonts w:ascii="Verdana" w:hAnsi="Verdana"/>
        </w:rPr>
      </w:pPr>
    </w:p>
    <w:p w14:paraId="4C322511" w14:textId="7C7FDBA1" w:rsidR="00BC66D2" w:rsidRPr="00BC66D2" w:rsidRDefault="00BC66D2" w:rsidP="00275A2F">
      <w:pPr>
        <w:jc w:val="both"/>
        <w:rPr>
          <w:rFonts w:ascii="Verdana" w:hAnsi="Verdana"/>
          <w:b/>
          <w:bCs/>
        </w:rPr>
      </w:pPr>
      <w:r w:rsidRPr="00BC66D2">
        <w:rPr>
          <w:rFonts w:ascii="Verdana" w:hAnsi="Verdana"/>
          <w:b/>
          <w:bCs/>
        </w:rPr>
        <w:t>Notas de pie de página:</w:t>
      </w:r>
    </w:p>
    <w:p w14:paraId="373E88A7" w14:textId="2F041F51" w:rsidR="00275A2F" w:rsidRPr="00275A2F" w:rsidRDefault="00275A2F" w:rsidP="00275A2F">
      <w:pPr>
        <w:jc w:val="both"/>
        <w:rPr>
          <w:rFonts w:ascii="Verdana" w:hAnsi="Verdana"/>
        </w:rPr>
      </w:pPr>
      <w:r w:rsidRPr="00275A2F">
        <w:rPr>
          <w:rFonts w:ascii="Verdana" w:hAnsi="Verdana"/>
        </w:rPr>
        <w:t>1. Ley 1098 del 8 de noviembre de 2006.</w:t>
      </w:r>
    </w:p>
    <w:p w14:paraId="16F753AE" w14:textId="1FC6B32A" w:rsidR="00275A2F" w:rsidRPr="00275A2F" w:rsidRDefault="00275A2F" w:rsidP="00275A2F">
      <w:pPr>
        <w:jc w:val="both"/>
        <w:rPr>
          <w:rFonts w:ascii="Verdana" w:hAnsi="Verdana"/>
        </w:rPr>
      </w:pPr>
      <w:r w:rsidRPr="00275A2F">
        <w:rPr>
          <w:rFonts w:ascii="Verdana" w:hAnsi="Verdana"/>
        </w:rPr>
        <w:t>2. Corte Constitucional, sentencia T-408-95, expediente T-71149, M.P: Eduardo Cifuentes Muñoz.</w:t>
      </w:r>
    </w:p>
    <w:p w14:paraId="4A48A5E1" w14:textId="24D4170B" w:rsidR="00275A2F" w:rsidRPr="00275A2F" w:rsidRDefault="00275A2F" w:rsidP="00275A2F">
      <w:pPr>
        <w:jc w:val="both"/>
        <w:rPr>
          <w:rFonts w:ascii="Verdana" w:hAnsi="Verdana"/>
        </w:rPr>
      </w:pPr>
      <w:r w:rsidRPr="00275A2F">
        <w:rPr>
          <w:rFonts w:ascii="Verdana" w:hAnsi="Verdana"/>
        </w:rPr>
        <w:t>3. T-503 de 2003 y T-397 de 2004 (MP. Manual José Cepeda Espinosa). Cita sacada de la sentencia T-502 de 2011, expediente T-2622716, M.P: Jorge Ignacio Pretelt Chaljub.</w:t>
      </w:r>
    </w:p>
    <w:p w14:paraId="7731599F" w14:textId="7784D117" w:rsidR="00275A2F" w:rsidRPr="00275A2F" w:rsidRDefault="00275A2F" w:rsidP="00275A2F">
      <w:pPr>
        <w:jc w:val="both"/>
        <w:rPr>
          <w:rFonts w:ascii="Verdana" w:hAnsi="Verdana"/>
        </w:rPr>
      </w:pPr>
      <w:r w:rsidRPr="00275A2F">
        <w:rPr>
          <w:rFonts w:ascii="Verdana" w:hAnsi="Verdana"/>
        </w:rPr>
        <w:t>4. Corte Constitucional, sentencia T-587 de 1997, M.P. Dr. Eduardo Cifuentes Muñoz</w:t>
      </w:r>
    </w:p>
    <w:p w14:paraId="57D47A72" w14:textId="3D56663A" w:rsidR="00275A2F" w:rsidRPr="00275A2F" w:rsidRDefault="00275A2F" w:rsidP="00275A2F">
      <w:pPr>
        <w:jc w:val="both"/>
        <w:rPr>
          <w:rFonts w:ascii="Verdana" w:hAnsi="Verdana"/>
        </w:rPr>
      </w:pPr>
      <w:r w:rsidRPr="00275A2F">
        <w:rPr>
          <w:rFonts w:ascii="Verdana" w:hAnsi="Verdana"/>
        </w:rPr>
        <w:t>5. Art. 5 de la Ley 1098 de 2006.</w:t>
      </w:r>
    </w:p>
    <w:p w14:paraId="41AC3CE5" w14:textId="369C971D" w:rsidR="00275A2F" w:rsidRPr="00BC66D2" w:rsidRDefault="00275A2F" w:rsidP="00275A2F">
      <w:pPr>
        <w:jc w:val="both"/>
        <w:rPr>
          <w:rFonts w:ascii="Verdana" w:hAnsi="Verdana"/>
          <w:lang w:val="pt-PT"/>
        </w:rPr>
      </w:pPr>
      <w:r w:rsidRPr="00BC66D2">
        <w:rPr>
          <w:rFonts w:ascii="Verdana" w:hAnsi="Verdana"/>
          <w:lang w:val="pt-PT"/>
        </w:rPr>
        <w:t>6. Decreto 4840 de 2007, art, 7, parágrafo 2o.</w:t>
      </w:r>
    </w:p>
    <w:p w14:paraId="794791FF" w14:textId="307844D7" w:rsidR="00275A2F" w:rsidRPr="00275A2F" w:rsidRDefault="00275A2F" w:rsidP="00275A2F">
      <w:pPr>
        <w:jc w:val="both"/>
        <w:rPr>
          <w:rFonts w:ascii="Verdana" w:hAnsi="Verdana"/>
        </w:rPr>
      </w:pPr>
      <w:r w:rsidRPr="00275A2F">
        <w:rPr>
          <w:rFonts w:ascii="Verdana" w:hAnsi="Verdana"/>
        </w:rPr>
        <w:t>7. Conflicto de Competencias administrativa. Expediente No. 11001-03-06-000-2009-00050-00 C.P. Gustavo Aponte Santos, “El parágrafo 2o del artículo 7o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 (….)”.</w:t>
      </w:r>
    </w:p>
    <w:p w14:paraId="535D3432" w14:textId="10F5CA85" w:rsidR="00275A2F" w:rsidRPr="00275A2F" w:rsidRDefault="00275A2F" w:rsidP="00275A2F">
      <w:pPr>
        <w:jc w:val="both"/>
        <w:rPr>
          <w:rFonts w:ascii="Verdana" w:hAnsi="Verdana"/>
        </w:rPr>
      </w:pPr>
      <w:r w:rsidRPr="00275A2F">
        <w:rPr>
          <w:rFonts w:ascii="Verdana" w:hAnsi="Verdana"/>
        </w:rPr>
        <w:t>8. Consejo de Estado, Sala de Servicio y Consulta Civil, 15 de octubre de 2009, Rad. 2009-00056-00, C.P. Enrique José Arboleda Perdomo.</w:t>
      </w:r>
    </w:p>
    <w:p w14:paraId="0820CC5F" w14:textId="4066FEB3" w:rsidR="00275A2F" w:rsidRPr="00275A2F" w:rsidRDefault="00275A2F" w:rsidP="00275A2F">
      <w:pPr>
        <w:jc w:val="both"/>
        <w:rPr>
          <w:rFonts w:ascii="Verdana" w:hAnsi="Verdana"/>
        </w:rPr>
      </w:pPr>
      <w:r w:rsidRPr="00275A2F">
        <w:rPr>
          <w:rFonts w:ascii="Verdana" w:hAnsi="Verdana"/>
        </w:rPr>
        <w:t>9. “por la cual se dictan disposiciones sobre racionalización de trámites y procedimientos administrativos de los organismos y entidades del Estado y de los particulares que ejercen funciones públicas o prestan servicios públicos”.</w:t>
      </w:r>
    </w:p>
    <w:p w14:paraId="41B784BA" w14:textId="0753C64E" w:rsidR="00275A2F" w:rsidRPr="00275A2F" w:rsidRDefault="00275A2F" w:rsidP="00275A2F">
      <w:pPr>
        <w:jc w:val="both"/>
        <w:rPr>
          <w:rFonts w:ascii="Verdana" w:hAnsi="Verdana"/>
        </w:rPr>
      </w:pPr>
      <w:r w:rsidRPr="00275A2F">
        <w:rPr>
          <w:rFonts w:ascii="Verdana" w:hAnsi="Verdana"/>
        </w:rPr>
        <w:t>10. “En los municipios donde no haya defensor de familia, las funciones que este Código le atribuye serán cumplidas por el comisario de familia. En ausencia de este último, las Junciones asignadas al del defensor y al comisario de familia corresponderán al inspector de policía (…)”.</w:t>
      </w:r>
    </w:p>
    <w:p w14:paraId="726D6ABC" w14:textId="386BA71E" w:rsidR="00275A2F" w:rsidRPr="00275A2F" w:rsidRDefault="00275A2F" w:rsidP="00275A2F">
      <w:pPr>
        <w:jc w:val="both"/>
        <w:rPr>
          <w:rFonts w:ascii="Verdana" w:hAnsi="Verdana"/>
        </w:rPr>
      </w:pPr>
      <w:r w:rsidRPr="00275A2F">
        <w:rPr>
          <w:rFonts w:ascii="Verdana" w:hAnsi="Verdana"/>
        </w:rPr>
        <w:t xml:space="preserve">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w:t>
      </w:r>
      <w:r w:rsidRPr="00275A2F">
        <w:rPr>
          <w:rFonts w:ascii="Verdana" w:hAnsi="Verdana"/>
        </w:rPr>
        <w:lastRenderedPageBreak/>
        <w:t>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275A2F" w:rsidRPr="00275A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2F"/>
    <w:rsid w:val="000B4793"/>
    <w:rsid w:val="00275A2F"/>
    <w:rsid w:val="00314B1B"/>
    <w:rsid w:val="00BC66D2"/>
    <w:rsid w:val="00C363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3F8E"/>
  <w15:chartTrackingRefBased/>
  <w15:docId w15:val="{46BE4682-2F8E-4DC7-A82E-0AE17A61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AF511B64-92DF-4024-843E-8034B844647D}"/>
</file>

<file path=customXml/itemProps2.xml><?xml version="1.0" encoding="utf-8"?>
<ds:datastoreItem xmlns:ds="http://schemas.openxmlformats.org/officeDocument/2006/customXml" ds:itemID="{4663EAFA-3CB2-4A99-B9DD-71EFC1CE48A3}"/>
</file>

<file path=customXml/itemProps3.xml><?xml version="1.0" encoding="utf-8"?>
<ds:datastoreItem xmlns:ds="http://schemas.openxmlformats.org/officeDocument/2006/customXml" ds:itemID="{E7D6357B-5186-4681-8BDC-E8F32C4D5C1A}"/>
</file>

<file path=docProps/app.xml><?xml version="1.0" encoding="utf-8"?>
<Properties xmlns="http://schemas.openxmlformats.org/officeDocument/2006/extended-properties" xmlns:vt="http://schemas.openxmlformats.org/officeDocument/2006/docPropsVTypes">
  <Template>Normal</Template>
  <TotalTime>1</TotalTime>
  <Pages>10</Pages>
  <Words>3983</Words>
  <Characters>21911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2026-07-24T14:41:00Z</dcterms:created>
  <dcterms:modified xsi:type="dcterms:W3CDTF">2026-07-24T14:41:00Z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