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5AAA" w14:textId="77777777" w:rsidR="00172395" w:rsidRPr="00172395" w:rsidRDefault="00172395" w:rsidP="00172395">
      <w:pPr>
        <w:jc w:val="center"/>
        <w:rPr>
          <w:rFonts w:ascii="Verdana" w:hAnsi="Verdana"/>
          <w:sz w:val="22"/>
          <w:szCs w:val="22"/>
        </w:rPr>
      </w:pPr>
      <w:r w:rsidRPr="00172395">
        <w:rPr>
          <w:rFonts w:ascii="Verdana" w:hAnsi="Verdana"/>
          <w:b/>
          <w:bCs/>
          <w:sz w:val="22"/>
          <w:szCs w:val="22"/>
        </w:rPr>
        <w:t>CONCEPTO 94 DE 2016</w:t>
      </w:r>
    </w:p>
    <w:p w14:paraId="3278E1B5" w14:textId="77777777" w:rsidR="00172395" w:rsidRPr="00172395" w:rsidRDefault="00172395" w:rsidP="00172395">
      <w:pPr>
        <w:jc w:val="center"/>
        <w:rPr>
          <w:rFonts w:ascii="Verdana" w:hAnsi="Verdana"/>
          <w:sz w:val="22"/>
          <w:szCs w:val="22"/>
        </w:rPr>
      </w:pPr>
      <w:r w:rsidRPr="00172395">
        <w:rPr>
          <w:rFonts w:ascii="Verdana" w:hAnsi="Verdana"/>
          <w:sz w:val="22"/>
          <w:szCs w:val="22"/>
        </w:rPr>
        <w:t>(agosto 22)</w:t>
      </w:r>
    </w:p>
    <w:p w14:paraId="2462C561" w14:textId="77777777" w:rsidR="00172395" w:rsidRPr="00172395" w:rsidRDefault="00172395" w:rsidP="00172395">
      <w:pPr>
        <w:jc w:val="center"/>
        <w:rPr>
          <w:rFonts w:ascii="Verdana" w:hAnsi="Verdana"/>
          <w:sz w:val="22"/>
          <w:szCs w:val="22"/>
        </w:rPr>
      </w:pPr>
      <w:r w:rsidRPr="00172395">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172395" w:rsidRPr="00172395" w14:paraId="46CFC714" w14:textId="77777777" w:rsidTr="00172395">
        <w:trPr>
          <w:tblCellSpacing w:w="15" w:type="dxa"/>
        </w:trPr>
        <w:tc>
          <w:tcPr>
            <w:tcW w:w="742" w:type="pct"/>
            <w:tcBorders>
              <w:top w:val="nil"/>
              <w:left w:val="nil"/>
              <w:bottom w:val="nil"/>
              <w:right w:val="nil"/>
            </w:tcBorders>
            <w:tcMar>
              <w:top w:w="0" w:type="dxa"/>
              <w:left w:w="0" w:type="dxa"/>
              <w:bottom w:w="0" w:type="dxa"/>
              <w:right w:w="0" w:type="dxa"/>
            </w:tcMar>
            <w:hideMark/>
          </w:tcPr>
          <w:p w14:paraId="0F02DAAE" w14:textId="77777777" w:rsidR="00172395" w:rsidRPr="00172395" w:rsidRDefault="00172395" w:rsidP="00172395">
            <w:pPr>
              <w:jc w:val="both"/>
              <w:rPr>
                <w:rFonts w:ascii="Verdana" w:hAnsi="Verdana"/>
                <w:sz w:val="22"/>
                <w:szCs w:val="22"/>
              </w:rPr>
            </w:pPr>
            <w:r w:rsidRPr="00172395">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B8C0CB0" w14:textId="77777777" w:rsidR="00172395" w:rsidRPr="00172395" w:rsidRDefault="00172395" w:rsidP="00172395">
            <w:pPr>
              <w:jc w:val="both"/>
              <w:rPr>
                <w:rFonts w:ascii="Verdana" w:hAnsi="Verdana"/>
                <w:sz w:val="22"/>
                <w:szCs w:val="22"/>
              </w:rPr>
            </w:pPr>
            <w:r w:rsidRPr="00172395">
              <w:rPr>
                <w:rFonts w:ascii="Verdana" w:hAnsi="Verdana"/>
                <w:sz w:val="22"/>
                <w:szCs w:val="22"/>
              </w:rPr>
              <w:t>Solicitud de concepto de acuerdo radicado en el ICBF No. 381754 del 9 de agosto de 2016.</w:t>
            </w:r>
          </w:p>
        </w:tc>
      </w:tr>
    </w:tbl>
    <w:p w14:paraId="2C152FF2" w14:textId="751C5CCC" w:rsidR="00172395" w:rsidRPr="00172395" w:rsidRDefault="00172395" w:rsidP="00172395">
      <w:pPr>
        <w:jc w:val="both"/>
        <w:rPr>
          <w:rFonts w:ascii="Verdana" w:hAnsi="Verdana"/>
          <w:sz w:val="22"/>
          <w:szCs w:val="22"/>
        </w:rPr>
      </w:pPr>
      <w:r w:rsidRPr="00172395">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3DD1D0C" w14:textId="77777777" w:rsidR="00172395" w:rsidRPr="00172395" w:rsidRDefault="00172395" w:rsidP="00172395">
      <w:pPr>
        <w:jc w:val="both"/>
        <w:rPr>
          <w:rFonts w:ascii="Verdana" w:hAnsi="Verdana"/>
          <w:sz w:val="22"/>
          <w:szCs w:val="22"/>
        </w:rPr>
      </w:pPr>
      <w:r w:rsidRPr="00172395">
        <w:rPr>
          <w:rFonts w:ascii="Verdana" w:hAnsi="Verdana"/>
          <w:b/>
          <w:bCs/>
          <w:sz w:val="22"/>
          <w:szCs w:val="22"/>
        </w:rPr>
        <w:t>1. PROBLEMA JURIDICO</w:t>
      </w:r>
    </w:p>
    <w:p w14:paraId="14B02FCD" w14:textId="5EBBA402" w:rsidR="00172395" w:rsidRPr="00172395" w:rsidRDefault="00172395" w:rsidP="00172395">
      <w:pPr>
        <w:jc w:val="both"/>
        <w:rPr>
          <w:rFonts w:ascii="Verdana" w:hAnsi="Verdana"/>
          <w:sz w:val="22"/>
          <w:szCs w:val="22"/>
        </w:rPr>
      </w:pPr>
      <w:r w:rsidRPr="00172395">
        <w:rPr>
          <w:rFonts w:ascii="Verdana" w:hAnsi="Verdana"/>
          <w:sz w:val="22"/>
          <w:szCs w:val="22"/>
        </w:rPr>
        <w:t>¿Cuándo un Juez de Familia declara la nulidad de lo actuado en el proceso de restablecimiento de derechos a partir del auto de apertura, desde qué fecha se debe contar el término de los 4 meses establecidos en el parágrafo 2 del artículo 100 de la Ley 1098 de 2006?</w:t>
      </w:r>
    </w:p>
    <w:p w14:paraId="4626882A" w14:textId="77777777" w:rsidR="00172395" w:rsidRPr="00172395" w:rsidRDefault="00172395" w:rsidP="00172395">
      <w:pPr>
        <w:jc w:val="both"/>
        <w:rPr>
          <w:rFonts w:ascii="Verdana" w:hAnsi="Verdana"/>
          <w:sz w:val="22"/>
          <w:szCs w:val="22"/>
        </w:rPr>
      </w:pPr>
      <w:r w:rsidRPr="00172395">
        <w:rPr>
          <w:rFonts w:ascii="Verdana" w:hAnsi="Verdana"/>
          <w:b/>
          <w:bCs/>
          <w:sz w:val="22"/>
          <w:szCs w:val="22"/>
        </w:rPr>
        <w:t>2. </w:t>
      </w:r>
      <w:r w:rsidRPr="00172395">
        <w:rPr>
          <w:rFonts w:ascii="Verdana" w:hAnsi="Verdana"/>
          <w:b/>
          <w:bCs/>
          <w:sz w:val="22"/>
          <w:szCs w:val="22"/>
          <w:u w:val="single"/>
        </w:rPr>
        <w:t>ANALISIS DEL PROBLEMA JURIDICO</w:t>
      </w:r>
    </w:p>
    <w:p w14:paraId="4F42920B" w14:textId="77777777" w:rsidR="00172395" w:rsidRPr="00172395" w:rsidRDefault="00172395" w:rsidP="00172395">
      <w:pPr>
        <w:jc w:val="both"/>
        <w:rPr>
          <w:rFonts w:ascii="Verdana" w:hAnsi="Verdana"/>
          <w:sz w:val="22"/>
          <w:szCs w:val="22"/>
        </w:rPr>
      </w:pPr>
      <w:r w:rsidRPr="00172395">
        <w:rPr>
          <w:rFonts w:ascii="Verdana" w:hAnsi="Verdana"/>
          <w:sz w:val="22"/>
          <w:szCs w:val="22"/>
        </w:rPr>
        <w:t>Se abordará el tema analizando: (2.1) El proceso Administrativo de Restablecimiento de Derechos; (2.2) Los términos que tiene el Defensor de Familia para resolver el trámite administrativo de Restablecimiento de Derechos; (2.3) Pronunciamiento de la Corte Constitucional sobre el término que tiene el Defensor de Familia para resolver el Proceso Administrativo de Restablecimiento de Derechos y (2.4) efectos del decreto de nulidad.</w:t>
      </w:r>
    </w:p>
    <w:p w14:paraId="47E98138" w14:textId="77777777" w:rsidR="00172395" w:rsidRPr="00172395" w:rsidRDefault="00172395" w:rsidP="00172395">
      <w:pPr>
        <w:jc w:val="both"/>
        <w:rPr>
          <w:rFonts w:ascii="Verdana" w:hAnsi="Verdana"/>
          <w:sz w:val="22"/>
          <w:szCs w:val="22"/>
        </w:rPr>
      </w:pPr>
      <w:r w:rsidRPr="00172395">
        <w:rPr>
          <w:rFonts w:ascii="Verdana" w:hAnsi="Verdana"/>
          <w:b/>
          <w:bCs/>
          <w:sz w:val="22"/>
          <w:szCs w:val="22"/>
          <w:u w:val="single"/>
        </w:rPr>
        <w:t>(2.1) El proceso Administrativo de Restablecimiento de Derechos</w:t>
      </w:r>
    </w:p>
    <w:p w14:paraId="640F1749" w14:textId="53550AEE" w:rsidR="00172395" w:rsidRPr="00172395" w:rsidRDefault="00172395" w:rsidP="00172395">
      <w:pPr>
        <w:jc w:val="both"/>
        <w:rPr>
          <w:rFonts w:ascii="Verdana" w:hAnsi="Verdana"/>
          <w:sz w:val="22"/>
          <w:szCs w:val="22"/>
        </w:rPr>
      </w:pPr>
      <w:r w:rsidRPr="00172395">
        <w:rPr>
          <w:rFonts w:ascii="Verdana" w:hAnsi="Verdana"/>
          <w:sz w:val="22"/>
          <w:szCs w:val="22"/>
        </w:rPr>
        <w:t xml:space="preserve">Iniciamos </w:t>
      </w:r>
      <w:proofErr w:type="gramStart"/>
      <w:r w:rsidRPr="00172395">
        <w:rPr>
          <w:rFonts w:ascii="Verdana" w:hAnsi="Verdana"/>
          <w:sz w:val="22"/>
          <w:szCs w:val="22"/>
        </w:rPr>
        <w:t>éste</w:t>
      </w:r>
      <w:proofErr w:type="gramEnd"/>
      <w:r w:rsidRPr="00172395">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31FD3279" w14:textId="72CCF09A" w:rsidR="00172395" w:rsidRPr="00172395" w:rsidRDefault="00172395" w:rsidP="00172395">
      <w:pPr>
        <w:jc w:val="both"/>
        <w:rPr>
          <w:rFonts w:ascii="Verdana" w:hAnsi="Verdana"/>
          <w:sz w:val="22"/>
          <w:szCs w:val="22"/>
        </w:rPr>
      </w:pPr>
      <w:r w:rsidRPr="00172395">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59861576" w14:textId="77777777" w:rsidR="00172395" w:rsidRPr="00172395" w:rsidRDefault="00172395" w:rsidP="00172395">
      <w:pPr>
        <w:jc w:val="both"/>
        <w:rPr>
          <w:rFonts w:ascii="Verdana" w:hAnsi="Verdana"/>
          <w:sz w:val="22"/>
          <w:szCs w:val="22"/>
        </w:rPr>
      </w:pPr>
      <w:r w:rsidRPr="00172395">
        <w:rPr>
          <w:rFonts w:ascii="Verdana" w:hAnsi="Verdana"/>
          <w:sz w:val="22"/>
          <w:szCs w:val="22"/>
        </w:rPr>
        <w:lastRenderedPageBreak/>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p>
    <w:p w14:paraId="07F230FA" w14:textId="77777777" w:rsidR="00172395" w:rsidRPr="00172395" w:rsidRDefault="00172395" w:rsidP="00172395">
      <w:pPr>
        <w:jc w:val="both"/>
        <w:rPr>
          <w:rFonts w:ascii="Verdana" w:hAnsi="Verdana"/>
          <w:sz w:val="22"/>
          <w:szCs w:val="22"/>
        </w:rPr>
      </w:pPr>
      <w:r w:rsidRPr="00172395">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172395">
        <w:rPr>
          <w:rFonts w:ascii="Verdana" w:hAnsi="Verdana"/>
          <w:sz w:val="22"/>
          <w:szCs w:val="22"/>
        </w:rPr>
        <w:t>Ley,</w:t>
      </w:r>
      <w:proofErr w:type="gramEnd"/>
      <w:r w:rsidRPr="00172395">
        <w:rPr>
          <w:rFonts w:ascii="Verdana" w:hAnsi="Verdana"/>
          <w:sz w:val="22"/>
          <w:szCs w:val="22"/>
        </w:rPr>
        <w:t xml:space="preserve"> restablezcan a los niños, las niñas y los adolescentes el ejercicio pleno y efectivo de sus derechos.</w:t>
      </w:r>
    </w:p>
    <w:p w14:paraId="714DA9E1" w14:textId="77777777" w:rsidR="00172395" w:rsidRPr="00172395" w:rsidRDefault="00172395" w:rsidP="00172395">
      <w:pPr>
        <w:jc w:val="both"/>
        <w:rPr>
          <w:rFonts w:ascii="Verdana" w:hAnsi="Verdana"/>
          <w:sz w:val="22"/>
          <w:szCs w:val="22"/>
        </w:rPr>
      </w:pPr>
      <w:r w:rsidRPr="00172395">
        <w:rPr>
          <w:rFonts w:ascii="Verdana" w:hAnsi="Verdana"/>
          <w:b/>
          <w:bCs/>
          <w:sz w:val="22"/>
          <w:szCs w:val="22"/>
          <w:u w:val="single"/>
        </w:rPr>
        <w:t>(2.2) Los términos para resolver el Proceso Administrativo de Restablecimiento de</w:t>
      </w:r>
      <w:r w:rsidRPr="00172395">
        <w:rPr>
          <w:rFonts w:ascii="Verdana" w:hAnsi="Verdana"/>
          <w:b/>
          <w:bCs/>
          <w:sz w:val="22"/>
          <w:szCs w:val="22"/>
        </w:rPr>
        <w:t> </w:t>
      </w:r>
      <w:r w:rsidRPr="00172395">
        <w:rPr>
          <w:rFonts w:ascii="Verdana" w:hAnsi="Verdana"/>
          <w:b/>
          <w:bCs/>
          <w:sz w:val="22"/>
          <w:szCs w:val="22"/>
          <w:u w:val="single"/>
        </w:rPr>
        <w:t>Derechos</w:t>
      </w:r>
    </w:p>
    <w:p w14:paraId="4B7B0C62" w14:textId="365584B9" w:rsidR="00172395" w:rsidRPr="00172395" w:rsidRDefault="00172395" w:rsidP="00172395">
      <w:pPr>
        <w:jc w:val="both"/>
        <w:rPr>
          <w:rFonts w:ascii="Verdana" w:hAnsi="Verdana"/>
          <w:sz w:val="22"/>
          <w:szCs w:val="22"/>
        </w:rPr>
      </w:pPr>
      <w:r w:rsidRPr="00172395">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172395">
        <w:rPr>
          <w:rFonts w:ascii="Verdana" w:hAnsi="Verdana"/>
          <w:sz w:val="22"/>
          <w:szCs w:val="22"/>
        </w:rPr>
        <w:t>investigación</w:t>
      </w:r>
      <w:r w:rsidRPr="00172395">
        <w:rPr>
          <w:rFonts w:ascii="Verdana" w:hAnsi="Verdana"/>
          <w:sz w:val="22"/>
          <w:szCs w:val="22"/>
          <w:vertAlign w:val="subscript"/>
        </w:rPr>
        <w:t>[</w:t>
      </w:r>
      <w:proofErr w:type="gramEnd"/>
      <w:r w:rsidRPr="00172395">
        <w:rPr>
          <w:rFonts w:ascii="Verdana" w:hAnsi="Verdana"/>
          <w:sz w:val="22"/>
          <w:szCs w:val="22"/>
          <w:vertAlign w:val="subscript"/>
        </w:rPr>
        <w:t>1]</w:t>
      </w:r>
      <w:r w:rsidRPr="00172395">
        <w:rPr>
          <w:rFonts w:ascii="Verdana" w:hAnsi="Verdana"/>
          <w:sz w:val="22"/>
          <w:szCs w:val="22"/>
        </w:rPr>
        <w:t> y que el recurso de reposición que se presente contra el respectivo fallo deberá ser resuelto dentro de los diez (10) días siguientes al vencimiento del término para interponerlo.</w:t>
      </w:r>
    </w:p>
    <w:p w14:paraId="4A96D7F4" w14:textId="77777777" w:rsidR="00172395" w:rsidRPr="00172395" w:rsidRDefault="00172395" w:rsidP="00172395">
      <w:pPr>
        <w:jc w:val="both"/>
        <w:rPr>
          <w:rFonts w:ascii="Verdana" w:hAnsi="Verdana"/>
          <w:sz w:val="22"/>
          <w:szCs w:val="22"/>
        </w:rPr>
      </w:pPr>
      <w:r w:rsidRPr="00172395">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17E78901" w14:textId="77777777" w:rsidR="00172395" w:rsidRPr="00172395" w:rsidRDefault="00172395" w:rsidP="00172395">
      <w:pPr>
        <w:jc w:val="both"/>
        <w:rPr>
          <w:rFonts w:ascii="Verdana" w:hAnsi="Verdana"/>
          <w:sz w:val="22"/>
          <w:szCs w:val="22"/>
        </w:rPr>
      </w:pPr>
      <w:r w:rsidRPr="00172395">
        <w:rPr>
          <w:rFonts w:ascii="Verdana" w:hAnsi="Verdana"/>
          <w:sz w:val="22"/>
          <w:szCs w:val="22"/>
        </w:rPr>
        <w:t xml:space="preserve">Excepcionalmente y por solicitud razonada del Defensor o Comisario de Familia, el </w:t>
      </w:r>
      <w:proofErr w:type="gramStart"/>
      <w:r w:rsidRPr="00172395">
        <w:rPr>
          <w:rFonts w:ascii="Verdana" w:hAnsi="Verdana"/>
          <w:sz w:val="22"/>
          <w:szCs w:val="22"/>
        </w:rPr>
        <w:t>Director Regional</w:t>
      </w:r>
      <w:proofErr w:type="gramEnd"/>
      <w:r w:rsidRPr="00172395">
        <w:rPr>
          <w:rFonts w:ascii="Verdana" w:hAnsi="Verdana"/>
          <w:sz w:val="22"/>
          <w:szCs w:val="22"/>
        </w:rPr>
        <w:t xml:space="preserve"> podrá ampliar el término para fallar la actuación administrativa hasta por dos (2) meses más, contados a partir del vencimiento de </w:t>
      </w:r>
      <w:proofErr w:type="gramStart"/>
      <w:r w:rsidRPr="00172395">
        <w:rPr>
          <w:rFonts w:ascii="Verdana" w:hAnsi="Verdana"/>
          <w:sz w:val="22"/>
          <w:szCs w:val="22"/>
        </w:rPr>
        <w:t>los cuatro iniciales</w:t>
      </w:r>
      <w:proofErr w:type="gramEnd"/>
      <w:r w:rsidRPr="00172395">
        <w:rPr>
          <w:rFonts w:ascii="Verdana" w:hAnsi="Verdana"/>
          <w:sz w:val="22"/>
          <w:szCs w:val="22"/>
        </w:rPr>
        <w:t>, sin que exista en ningún caso nueva prórroga.</w:t>
      </w:r>
    </w:p>
    <w:p w14:paraId="287FAB47" w14:textId="5896CFF6" w:rsidR="00172395" w:rsidRPr="00172395" w:rsidRDefault="00172395" w:rsidP="00172395">
      <w:pPr>
        <w:jc w:val="both"/>
        <w:rPr>
          <w:rFonts w:ascii="Verdana" w:hAnsi="Verdana"/>
          <w:sz w:val="22"/>
          <w:szCs w:val="22"/>
        </w:rPr>
      </w:pPr>
      <w:r w:rsidRPr="00172395">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44DA9A4F" w14:textId="77777777" w:rsidR="00172395" w:rsidRPr="00172395" w:rsidRDefault="00172395" w:rsidP="00172395">
      <w:pPr>
        <w:jc w:val="both"/>
        <w:rPr>
          <w:rFonts w:ascii="Verdana" w:hAnsi="Verdana"/>
          <w:sz w:val="22"/>
          <w:szCs w:val="22"/>
        </w:rPr>
      </w:pPr>
      <w:r w:rsidRPr="00172395">
        <w:rPr>
          <w:rFonts w:ascii="Verdana" w:hAnsi="Verdana"/>
          <w:sz w:val="22"/>
          <w:szCs w:val="22"/>
        </w:rPr>
        <w:t>Debe resaltarse que la ley no dio excepciones de ningún tipo atendiendo al principio normativo esencial de eficiencia y utilidad para garantizar a cabalidad la protección integral de los intereses y garantías de los niños, niñas y adolescentes.</w:t>
      </w:r>
    </w:p>
    <w:p w14:paraId="115EA889" w14:textId="77777777" w:rsidR="00172395" w:rsidRPr="00172395" w:rsidRDefault="00172395" w:rsidP="00172395">
      <w:pPr>
        <w:jc w:val="both"/>
        <w:rPr>
          <w:rFonts w:ascii="Verdana" w:hAnsi="Verdana"/>
          <w:sz w:val="22"/>
          <w:szCs w:val="22"/>
        </w:rPr>
      </w:pPr>
      <w:r w:rsidRPr="00172395">
        <w:rPr>
          <w:rFonts w:ascii="Verdana" w:hAnsi="Verdana"/>
          <w:sz w:val="22"/>
          <w:szCs w:val="22"/>
        </w:rPr>
        <w:lastRenderedPageBreak/>
        <w:t>La importancia de los términos no radica en el cumplimiento de una formalidad, sino en lograr que dentro de ellos se cumpla un objetivo sustancial, que en este caso es el restablecimiento de derechos de un niño, niña y adolescente.</w:t>
      </w:r>
    </w:p>
    <w:p w14:paraId="77744F75" w14:textId="77777777" w:rsidR="00172395" w:rsidRPr="00172395" w:rsidRDefault="00172395" w:rsidP="00172395">
      <w:pPr>
        <w:jc w:val="both"/>
        <w:rPr>
          <w:rFonts w:ascii="Verdana" w:hAnsi="Verdana"/>
          <w:sz w:val="22"/>
          <w:szCs w:val="22"/>
        </w:rPr>
      </w:pPr>
      <w:r w:rsidRPr="00172395">
        <w:rPr>
          <w:rFonts w:ascii="Verdana" w:hAnsi="Verdana"/>
          <w:b/>
          <w:bCs/>
          <w:sz w:val="22"/>
          <w:szCs w:val="22"/>
        </w:rPr>
        <w:t>(2.3) Pronunciamiento de la Corte Constitucional sobre el término que tiene el Defensor de Familia para resolver el Proceso Administrativo de Restablecimiento de Derechos</w:t>
      </w:r>
    </w:p>
    <w:p w14:paraId="4419247B" w14:textId="77777777" w:rsidR="00172395" w:rsidRPr="00172395" w:rsidRDefault="00172395" w:rsidP="00172395">
      <w:pPr>
        <w:jc w:val="both"/>
        <w:rPr>
          <w:rFonts w:ascii="Verdana" w:hAnsi="Verdana"/>
          <w:sz w:val="22"/>
          <w:szCs w:val="22"/>
        </w:rPr>
      </w:pPr>
      <w:r w:rsidRPr="00172395">
        <w:rPr>
          <w:rFonts w:ascii="Verdana" w:hAnsi="Verdana"/>
          <w:sz w:val="22"/>
          <w:szCs w:val="22"/>
        </w:rPr>
        <w:t xml:space="preserve">Sobre </w:t>
      </w:r>
      <w:proofErr w:type="gramStart"/>
      <w:r w:rsidRPr="00172395">
        <w:rPr>
          <w:rFonts w:ascii="Verdana" w:hAnsi="Verdana"/>
          <w:sz w:val="22"/>
          <w:szCs w:val="22"/>
        </w:rPr>
        <w:t>éste</w:t>
      </w:r>
      <w:proofErr w:type="gramEnd"/>
      <w:r w:rsidRPr="00172395">
        <w:rPr>
          <w:rFonts w:ascii="Verdana" w:hAnsi="Verdana"/>
          <w:sz w:val="22"/>
          <w:szCs w:val="22"/>
        </w:rPr>
        <w:t xml:space="preserve"> asunto, la Corte </w:t>
      </w:r>
      <w:proofErr w:type="gramStart"/>
      <w:r w:rsidRPr="00172395">
        <w:rPr>
          <w:rFonts w:ascii="Verdana" w:hAnsi="Verdana"/>
          <w:sz w:val="22"/>
          <w:szCs w:val="22"/>
        </w:rPr>
        <w:t>Constitucional</w:t>
      </w:r>
      <w:r w:rsidRPr="00172395">
        <w:rPr>
          <w:rFonts w:ascii="Verdana" w:hAnsi="Verdana"/>
          <w:sz w:val="22"/>
          <w:szCs w:val="22"/>
          <w:vertAlign w:val="subscript"/>
        </w:rPr>
        <w:t>[</w:t>
      </w:r>
      <w:proofErr w:type="gramEnd"/>
      <w:r w:rsidRPr="00172395">
        <w:rPr>
          <w:rFonts w:ascii="Verdana" w:hAnsi="Verdana"/>
          <w:sz w:val="22"/>
          <w:szCs w:val="22"/>
          <w:vertAlign w:val="subscript"/>
        </w:rPr>
        <w:t>2]</w:t>
      </w:r>
      <w:r w:rsidRPr="00172395">
        <w:rPr>
          <w:rFonts w:ascii="Verdana" w:hAnsi="Verdana"/>
          <w:sz w:val="22"/>
          <w:szCs w:val="22"/>
        </w:rPr>
        <w:t> ha dicho que:</w:t>
      </w:r>
    </w:p>
    <w:p w14:paraId="13994898"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7A82B4C0" w14:textId="00572351" w:rsidR="00172395" w:rsidRPr="00172395" w:rsidRDefault="00172395" w:rsidP="00172395">
      <w:pPr>
        <w:jc w:val="both"/>
        <w:rPr>
          <w:rFonts w:ascii="Verdana" w:hAnsi="Verdana"/>
          <w:sz w:val="22"/>
          <w:szCs w:val="22"/>
        </w:rPr>
      </w:pPr>
      <w:r w:rsidRPr="00172395">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035D192C"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259B645C"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 xml:space="preserve">En el mismo sentido, también es razonable </w:t>
      </w:r>
      <w:proofErr w:type="gramStart"/>
      <w:r w:rsidRPr="00172395">
        <w:rPr>
          <w:rFonts w:ascii="Verdana" w:hAnsi="Verdana"/>
          <w:i/>
          <w:iCs/>
          <w:sz w:val="22"/>
          <w:szCs w:val="22"/>
        </w:rPr>
        <w:t>que</w:t>
      </w:r>
      <w:proofErr w:type="gramEnd"/>
      <w:r w:rsidRPr="00172395">
        <w:rPr>
          <w:rFonts w:ascii="Verdana" w:hAnsi="Verdana"/>
          <w:i/>
          <w:iCs/>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5565D9D0" w14:textId="27E48233" w:rsidR="00172395" w:rsidRPr="00172395" w:rsidRDefault="00172395" w:rsidP="00172395">
      <w:pPr>
        <w:jc w:val="both"/>
        <w:rPr>
          <w:rFonts w:ascii="Verdana" w:hAnsi="Verdana"/>
          <w:sz w:val="22"/>
          <w:szCs w:val="22"/>
        </w:rPr>
      </w:pPr>
      <w:r w:rsidRPr="00172395">
        <w:rPr>
          <w:rFonts w:ascii="Verdana" w:hAnsi="Verdana"/>
          <w:i/>
          <w:iCs/>
          <w:sz w:val="22"/>
          <w:szCs w:val="22"/>
        </w:rPr>
        <w:t>Por consiguiente, dicha expresión no vulnera el derecho de defensa consagrado en el Art. 29 de la Constitución y será declarada exequible, por el cargo planteado".</w:t>
      </w:r>
    </w:p>
    <w:p w14:paraId="3F61E9D6" w14:textId="77777777" w:rsidR="00172395" w:rsidRPr="00172395" w:rsidRDefault="00172395" w:rsidP="00172395">
      <w:pPr>
        <w:jc w:val="both"/>
        <w:rPr>
          <w:rFonts w:ascii="Verdana" w:hAnsi="Verdana"/>
          <w:sz w:val="22"/>
          <w:szCs w:val="22"/>
        </w:rPr>
      </w:pPr>
      <w:r w:rsidRPr="00172395">
        <w:rPr>
          <w:rFonts w:ascii="Verdana" w:hAnsi="Verdana"/>
          <w:b/>
          <w:bCs/>
          <w:sz w:val="22"/>
          <w:szCs w:val="22"/>
          <w:u w:val="single"/>
        </w:rPr>
        <w:lastRenderedPageBreak/>
        <w:t>(2.4) Efectos del decreto de nulidad</w:t>
      </w:r>
    </w:p>
    <w:p w14:paraId="2A549873" w14:textId="77777777" w:rsidR="00172395" w:rsidRPr="00172395" w:rsidRDefault="00172395" w:rsidP="00172395">
      <w:pPr>
        <w:jc w:val="both"/>
        <w:rPr>
          <w:rFonts w:ascii="Verdana" w:hAnsi="Verdana"/>
          <w:sz w:val="22"/>
          <w:szCs w:val="22"/>
        </w:rPr>
      </w:pPr>
      <w:r w:rsidRPr="00172395">
        <w:rPr>
          <w:rFonts w:ascii="Verdana" w:hAnsi="Verdana"/>
          <w:sz w:val="22"/>
          <w:szCs w:val="22"/>
        </w:rPr>
        <w:t xml:space="preserve">Las nulidades son irregularidades que se presentan en el desarrollo de un proceso, las </w:t>
      </w:r>
      <w:proofErr w:type="gramStart"/>
      <w:r w:rsidRPr="00172395">
        <w:rPr>
          <w:rFonts w:ascii="Verdana" w:hAnsi="Verdana"/>
          <w:sz w:val="22"/>
          <w:szCs w:val="22"/>
        </w:rPr>
        <w:t>cuales</w:t>
      </w:r>
      <w:proofErr w:type="gramEnd"/>
      <w:r w:rsidRPr="00172395">
        <w:rPr>
          <w:rFonts w:ascii="Verdana" w:hAnsi="Verdana"/>
          <w:sz w:val="22"/>
          <w:szCs w:val="22"/>
        </w:rPr>
        <w:t xml:space="preserve"> por su gravedad, el legislador y excepcionalmente el constituyente les ha atribuido la consecuencia sanción de invalidar las actuaciones surtidas. A través de su declaración se controla entonces la validez de la actuación procesal y se asegura a las partes el derecho constitucional al debido proceso.</w:t>
      </w:r>
    </w:p>
    <w:p w14:paraId="0A69483A" w14:textId="20E8335A" w:rsidR="00172395" w:rsidRPr="00172395" w:rsidRDefault="00172395" w:rsidP="00172395">
      <w:pPr>
        <w:jc w:val="both"/>
        <w:rPr>
          <w:rFonts w:ascii="Verdana" w:hAnsi="Verdana"/>
          <w:sz w:val="22"/>
          <w:szCs w:val="22"/>
        </w:rPr>
      </w:pPr>
      <w:r w:rsidRPr="00172395">
        <w:rPr>
          <w:rFonts w:ascii="Verdana" w:hAnsi="Verdana"/>
          <w:sz w:val="22"/>
          <w:szCs w:val="22"/>
        </w:rPr>
        <w:t xml:space="preserve">Dichas nulidades se encuentran establecidas en el artículo capitulo II, artículo 132 y </w:t>
      </w:r>
      <w:proofErr w:type="spellStart"/>
      <w:r w:rsidRPr="00172395">
        <w:rPr>
          <w:rFonts w:ascii="Verdana" w:hAnsi="Verdana"/>
          <w:sz w:val="22"/>
          <w:szCs w:val="22"/>
        </w:rPr>
        <w:t>ss</w:t>
      </w:r>
      <w:proofErr w:type="spellEnd"/>
      <w:r w:rsidRPr="00172395">
        <w:rPr>
          <w:rFonts w:ascii="Verdana" w:hAnsi="Verdana"/>
          <w:sz w:val="22"/>
          <w:szCs w:val="22"/>
        </w:rPr>
        <w:t xml:space="preserve"> del Código General del Proceso, indicando que el proceso es nulo en todo o en parte por alguna de las causales allí establecidas.</w:t>
      </w:r>
    </w:p>
    <w:p w14:paraId="04048163" w14:textId="77777777" w:rsidR="00172395" w:rsidRPr="00172395" w:rsidRDefault="00172395" w:rsidP="00172395">
      <w:pPr>
        <w:jc w:val="both"/>
        <w:rPr>
          <w:rFonts w:ascii="Verdana" w:hAnsi="Verdana"/>
          <w:sz w:val="22"/>
          <w:szCs w:val="22"/>
        </w:rPr>
      </w:pPr>
      <w:r w:rsidRPr="00172395">
        <w:rPr>
          <w:rFonts w:ascii="Verdana" w:hAnsi="Verdana"/>
          <w:sz w:val="22"/>
          <w:szCs w:val="22"/>
        </w:rPr>
        <w:t xml:space="preserve">Al respecto de las nulidades la Corte </w:t>
      </w:r>
      <w:proofErr w:type="gramStart"/>
      <w:r w:rsidRPr="00172395">
        <w:rPr>
          <w:rFonts w:ascii="Verdana" w:hAnsi="Verdana"/>
          <w:sz w:val="22"/>
          <w:szCs w:val="22"/>
        </w:rPr>
        <w:t>Constitucional</w:t>
      </w:r>
      <w:r w:rsidRPr="00172395">
        <w:rPr>
          <w:rFonts w:ascii="Verdana" w:hAnsi="Verdana"/>
          <w:sz w:val="22"/>
          <w:szCs w:val="22"/>
          <w:vertAlign w:val="subscript"/>
        </w:rPr>
        <w:t>[</w:t>
      </w:r>
      <w:proofErr w:type="gramEnd"/>
      <w:r w:rsidRPr="00172395">
        <w:rPr>
          <w:rFonts w:ascii="Verdana" w:hAnsi="Verdana"/>
          <w:sz w:val="22"/>
          <w:szCs w:val="22"/>
          <w:vertAlign w:val="subscript"/>
        </w:rPr>
        <w:t>3]</w:t>
      </w:r>
      <w:r w:rsidRPr="00172395">
        <w:rPr>
          <w:rFonts w:ascii="Verdana" w:hAnsi="Verdana"/>
          <w:sz w:val="22"/>
          <w:szCs w:val="22"/>
        </w:rPr>
        <w:t> ha manifestado que:</w:t>
      </w:r>
    </w:p>
    <w:p w14:paraId="3BE45BCD"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w:t>
      </w:r>
    </w:p>
    <w:p w14:paraId="42A2A116" w14:textId="24B5618E" w:rsidR="00172395" w:rsidRPr="00172395" w:rsidRDefault="00172395" w:rsidP="00172395">
      <w:pPr>
        <w:jc w:val="both"/>
        <w:rPr>
          <w:rFonts w:ascii="Verdana" w:hAnsi="Verdana"/>
          <w:sz w:val="22"/>
          <w:szCs w:val="22"/>
        </w:rPr>
      </w:pPr>
      <w:r w:rsidRPr="00172395">
        <w:rPr>
          <w:rFonts w:ascii="Verdana" w:hAnsi="Verdana"/>
          <w:i/>
          <w:iCs/>
          <w:sz w:val="22"/>
          <w:szCs w:val="22"/>
        </w:rPr>
        <w:t xml:space="preserve">Nuestro sistema procesal, como se deduce del artículo 140 del Código de Procedimiento Civil, ha adoptado un sistema de enunciación taxativa de las causales de nulidad. La taxatividad de las causales de nulidad significa que solo se pueden considerar vicios </w:t>
      </w:r>
      <w:proofErr w:type="spellStart"/>
      <w:r w:rsidRPr="00172395">
        <w:rPr>
          <w:rFonts w:ascii="Verdana" w:hAnsi="Verdana"/>
          <w:i/>
          <w:iCs/>
          <w:sz w:val="22"/>
          <w:szCs w:val="22"/>
        </w:rPr>
        <w:t>invalidadores</w:t>
      </w:r>
      <w:proofErr w:type="spellEnd"/>
      <w:r w:rsidRPr="00172395">
        <w:rPr>
          <w:rFonts w:ascii="Verdana" w:hAnsi="Verdana"/>
          <w:i/>
          <w:iCs/>
          <w:sz w:val="22"/>
          <w:szCs w:val="22"/>
        </w:rPr>
        <w:t xml:space="preserve"> de una actuación aquellos expresamente señalados por el legislador y, excepcionalmente, por la Constitución como el caso de la nulidad que se presenta por práctica de una prueba con violación del debido proceso.</w:t>
      </w:r>
    </w:p>
    <w:p w14:paraId="740AAC1F"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Cualquier otra irregularidad no prevista expresamente deberá ser alegada mediante los recursos previstos por la normativa procesal, pero jamás podrá servir de fundamento de una declaración de nulidad. En este sentido, la Corte expresó lo siguiente en la sentencia C-491 de 1995:</w:t>
      </w:r>
    </w:p>
    <w:p w14:paraId="587A0703"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El Código de Procedimiento Civil que nos rige con un criterio que consulta la moderna técnica del derecho procesal, señala la taxatividad de las causales de nulidad, es decir, de los motivos que dan lugar a invalidar un acto procesal, y el principio de que no toda irregularidad constituye nulidad, pues éstas se entienden subsanadas si oportunamente no se corrigen a través de los recursos.</w:t>
      </w:r>
    </w:p>
    <w:p w14:paraId="5C6BF1B4" w14:textId="32009C20" w:rsidR="00172395" w:rsidRPr="00172395" w:rsidRDefault="00172395" w:rsidP="00172395">
      <w:pPr>
        <w:jc w:val="both"/>
        <w:rPr>
          <w:rFonts w:ascii="Verdana" w:hAnsi="Verdana"/>
          <w:sz w:val="22"/>
          <w:szCs w:val="22"/>
        </w:rPr>
      </w:pPr>
      <w:r w:rsidRPr="00172395">
        <w:rPr>
          <w:rFonts w:ascii="Verdana" w:hAnsi="Verdana"/>
          <w:i/>
          <w:iCs/>
          <w:sz w:val="22"/>
          <w:szCs w:val="22"/>
        </w:rPr>
        <w:t>Esta Corte ha estimado que un sistema restringido -taxativo- de nulidades</w:t>
      </w:r>
      <w:r w:rsidRPr="00172395">
        <w:rPr>
          <w:rFonts w:ascii="Verdana" w:hAnsi="Verdana"/>
          <w:sz w:val="22"/>
          <w:szCs w:val="22"/>
        </w:rPr>
        <w:t> sé </w:t>
      </w:r>
      <w:r w:rsidRPr="00172395">
        <w:rPr>
          <w:rFonts w:ascii="Verdana" w:hAnsi="Verdana"/>
          <w:i/>
          <w:iCs/>
          <w:sz w:val="22"/>
          <w:szCs w:val="22"/>
        </w:rPr>
        <w:t xml:space="preserve">ajusta a la Constitución, por cuanto garantiza los principios de seguridad jurídica y celeridad procesal En éste sentido, en la sentencia C-491 de 1995, la Corporación sostuvo que pese a que el artículo 29 superior establece los fundamentos básicos del derecho al debido proceso, corresponde al legislador, dentro de su facultad discrecional y con arreglo a los principios constitucionales, desarrollar a través de las correspondientes fórmulas las formas procesales que deben ser cumplidas para asegurar su vigencia. En tal virtud, la regulación del régimen de nulidades es un asunto que atañe en </w:t>
      </w:r>
      <w:r w:rsidRPr="00172395">
        <w:rPr>
          <w:rFonts w:ascii="Verdana" w:hAnsi="Verdana"/>
          <w:i/>
          <w:iCs/>
          <w:sz w:val="22"/>
          <w:szCs w:val="22"/>
        </w:rPr>
        <w:lastRenderedPageBreak/>
        <w:t>principio al legislador, el cual puede señalar, de conformidad con el principio de la proporcionalidad y los demás principios constitucionales, las causales de nulidad".</w:t>
      </w:r>
    </w:p>
    <w:p w14:paraId="34246AA5" w14:textId="7B38DADD" w:rsidR="00172395" w:rsidRPr="00172395" w:rsidRDefault="00172395" w:rsidP="00172395">
      <w:pPr>
        <w:jc w:val="both"/>
        <w:rPr>
          <w:rFonts w:ascii="Verdana" w:hAnsi="Verdana"/>
          <w:sz w:val="22"/>
          <w:szCs w:val="22"/>
        </w:rPr>
      </w:pPr>
      <w:r w:rsidRPr="00172395">
        <w:rPr>
          <w:rFonts w:ascii="Verdana" w:hAnsi="Verdana"/>
          <w:sz w:val="22"/>
          <w:szCs w:val="22"/>
        </w:rPr>
        <w:t>El artículo 138 del mismo Código establece los efectos de la nulidad declarada indicando que:</w:t>
      </w:r>
    </w:p>
    <w:p w14:paraId="741C1720" w14:textId="77777777" w:rsidR="00172395" w:rsidRPr="00172395" w:rsidRDefault="00172395" w:rsidP="00172395">
      <w:pPr>
        <w:jc w:val="both"/>
        <w:rPr>
          <w:rFonts w:ascii="Verdana" w:hAnsi="Verdana"/>
          <w:sz w:val="22"/>
          <w:szCs w:val="22"/>
        </w:rPr>
      </w:pPr>
      <w:r w:rsidRPr="00172395">
        <w:rPr>
          <w:rFonts w:ascii="Verdana" w:hAnsi="Verdana"/>
          <w:sz w:val="22"/>
          <w:szCs w:val="22"/>
        </w:rPr>
        <w:t>(...)</w:t>
      </w:r>
    </w:p>
    <w:p w14:paraId="74B028FF"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 xml:space="preserve">“La nulidad solo comprenderá la actuación posterior al motivo que la produjo y que resulte afectada por </w:t>
      </w:r>
      <w:proofErr w:type="gramStart"/>
      <w:r w:rsidRPr="00172395">
        <w:rPr>
          <w:rFonts w:ascii="Verdana" w:hAnsi="Verdana"/>
          <w:i/>
          <w:iCs/>
          <w:sz w:val="22"/>
          <w:szCs w:val="22"/>
        </w:rPr>
        <w:t>éste</w:t>
      </w:r>
      <w:proofErr w:type="gramEnd"/>
      <w:r w:rsidRPr="00172395">
        <w:rPr>
          <w:rFonts w:ascii="Verdana" w:hAnsi="Verdana"/>
          <w:i/>
          <w:iCs/>
          <w:sz w:val="22"/>
          <w:szCs w:val="22"/>
        </w:rPr>
        <w:t xml:space="preserve"> Sin embargo, la prueba practicada dentro de dicha actuación conservará su validez y tendrá eficacia respecto</w:t>
      </w:r>
      <w:r w:rsidRPr="00172395">
        <w:rPr>
          <w:rFonts w:ascii="Verdana" w:hAnsi="Verdana"/>
          <w:sz w:val="22"/>
          <w:szCs w:val="22"/>
        </w:rPr>
        <w:t> a </w:t>
      </w:r>
      <w:r w:rsidRPr="00172395">
        <w:rPr>
          <w:rFonts w:ascii="Verdana" w:hAnsi="Verdana"/>
          <w:i/>
          <w:iCs/>
          <w:sz w:val="22"/>
          <w:szCs w:val="22"/>
        </w:rPr>
        <w:t xml:space="preserve">quienes tuvieron oportunidad de controvertirla, y se mantendrán las medidas cautelares </w:t>
      </w:r>
      <w:proofErr w:type="gramStart"/>
      <w:r w:rsidRPr="00172395">
        <w:rPr>
          <w:rFonts w:ascii="Verdana" w:hAnsi="Verdana"/>
          <w:i/>
          <w:iCs/>
          <w:sz w:val="22"/>
          <w:szCs w:val="22"/>
        </w:rPr>
        <w:t>practicadas..</w:t>
      </w:r>
      <w:proofErr w:type="gramEnd"/>
    </w:p>
    <w:p w14:paraId="2521C0F0"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El auto que declare una nulidad indicará la actuación que debe renovarse".</w:t>
      </w:r>
    </w:p>
    <w:p w14:paraId="1AF38C3C" w14:textId="77777777" w:rsidR="00172395" w:rsidRPr="00172395" w:rsidRDefault="00172395" w:rsidP="00172395">
      <w:pPr>
        <w:jc w:val="both"/>
        <w:rPr>
          <w:rFonts w:ascii="Verdana" w:hAnsi="Verdana"/>
          <w:sz w:val="22"/>
          <w:szCs w:val="22"/>
        </w:rPr>
      </w:pPr>
      <w:r w:rsidRPr="00172395">
        <w:rPr>
          <w:rFonts w:ascii="Verdana" w:hAnsi="Verdana"/>
          <w:sz w:val="22"/>
          <w:szCs w:val="22"/>
        </w:rPr>
        <w:t>Al respecto la Corte Suprema de Justicia sala de Casación Civil,</w:t>
      </w:r>
      <w:r w:rsidRPr="00172395">
        <w:rPr>
          <w:rFonts w:ascii="Verdana" w:hAnsi="Verdana"/>
          <w:sz w:val="22"/>
          <w:szCs w:val="22"/>
          <w:vertAlign w:val="subscript"/>
        </w:rPr>
        <w:t>[4]</w:t>
      </w:r>
      <w:r w:rsidRPr="00172395">
        <w:rPr>
          <w:rFonts w:ascii="Verdana" w:hAnsi="Verdana"/>
          <w:sz w:val="22"/>
          <w:szCs w:val="22"/>
        </w:rPr>
        <w:t> ha manifestado que:</w:t>
      </w:r>
    </w:p>
    <w:p w14:paraId="0C57937F" w14:textId="097E1757" w:rsidR="00172395" w:rsidRPr="00172395" w:rsidRDefault="00172395" w:rsidP="00172395">
      <w:pPr>
        <w:jc w:val="both"/>
        <w:rPr>
          <w:rFonts w:ascii="Verdana" w:hAnsi="Verdana"/>
          <w:sz w:val="22"/>
          <w:szCs w:val="22"/>
        </w:rPr>
      </w:pPr>
      <w:r w:rsidRPr="00172395">
        <w:rPr>
          <w:rFonts w:ascii="Verdana" w:hAnsi="Verdana"/>
          <w:i/>
          <w:iCs/>
          <w:sz w:val="22"/>
          <w:szCs w:val="22"/>
        </w:rPr>
        <w:t>"Para determinar los efectos de la nulidad declarada, el legislador contempló una norma específica, valga decir, el artículo 146 ib. Código de Procedimiento Civil, que sin excepción alguna sobre la naturaleza de la relación sustancial que se debate o las partes que acuden al litigio, consagró que "la nulidad solo comprenderá la actuación posterior al motivo que la produjo y que resulte afectada por éste".</w:t>
      </w:r>
    </w:p>
    <w:p w14:paraId="16C21D5F" w14:textId="77777777" w:rsidR="00172395" w:rsidRPr="00172395" w:rsidRDefault="00172395" w:rsidP="00172395">
      <w:pPr>
        <w:jc w:val="both"/>
        <w:rPr>
          <w:rFonts w:ascii="Verdana" w:hAnsi="Verdana"/>
          <w:sz w:val="22"/>
          <w:szCs w:val="22"/>
        </w:rPr>
      </w:pPr>
      <w:r w:rsidRPr="00172395">
        <w:rPr>
          <w:rFonts w:ascii="Verdana" w:hAnsi="Verdana"/>
          <w:i/>
          <w:iCs/>
          <w:sz w:val="22"/>
          <w:szCs w:val="22"/>
        </w:rPr>
        <w:t>Por lo tanto, no es en otro lugar del Estatuto Procesal Civil en donde debe averiguarse sobre las secuelas del vicio adjetivo declarado, máxime cuando ese canon representa un evidente desarrollo del principio de la economía procesal, cuyo postulado es, en esencia, ''obtener el mayor resultado con el mínimo de actividad procesal".</w:t>
      </w:r>
    </w:p>
    <w:p w14:paraId="2FED7BC3" w14:textId="77777777" w:rsidR="00172395" w:rsidRPr="00172395" w:rsidRDefault="00172395" w:rsidP="00172395">
      <w:pPr>
        <w:jc w:val="both"/>
        <w:rPr>
          <w:rFonts w:ascii="Verdana" w:hAnsi="Verdana"/>
          <w:sz w:val="22"/>
          <w:szCs w:val="22"/>
        </w:rPr>
      </w:pPr>
      <w:r w:rsidRPr="00172395">
        <w:rPr>
          <w:rFonts w:ascii="Verdana" w:hAnsi="Verdana"/>
          <w:sz w:val="22"/>
          <w:szCs w:val="22"/>
        </w:rPr>
        <w:t>(...)</w:t>
      </w:r>
    </w:p>
    <w:p w14:paraId="44B1AECC" w14:textId="527B2F56" w:rsidR="00172395" w:rsidRPr="00172395" w:rsidRDefault="00172395" w:rsidP="00172395">
      <w:pPr>
        <w:jc w:val="both"/>
        <w:rPr>
          <w:rFonts w:ascii="Verdana" w:hAnsi="Verdana"/>
          <w:sz w:val="22"/>
          <w:szCs w:val="22"/>
        </w:rPr>
      </w:pPr>
      <w:r w:rsidRPr="00172395">
        <w:rPr>
          <w:rFonts w:ascii="Verdana" w:hAnsi="Verdana"/>
          <w:i/>
          <w:iCs/>
          <w:sz w:val="22"/>
          <w:szCs w:val="22"/>
        </w:rPr>
        <w:t>En suma, una interpretación lógica y sistemática de las reglas incorporadas en los preceptos 142 y 143 del Código de Procedimiento Civil, lleva a determinar que cuando se decreta una nulidad, lo procedente es renovar exclusivamente la actuación viciada (...)".</w:t>
      </w:r>
    </w:p>
    <w:p w14:paraId="6F8BA278" w14:textId="77777777" w:rsidR="00172395" w:rsidRPr="00172395" w:rsidRDefault="00172395" w:rsidP="00172395">
      <w:pPr>
        <w:jc w:val="both"/>
        <w:rPr>
          <w:rFonts w:ascii="Verdana" w:hAnsi="Verdana"/>
          <w:sz w:val="22"/>
          <w:szCs w:val="22"/>
        </w:rPr>
      </w:pPr>
      <w:r w:rsidRPr="00172395">
        <w:rPr>
          <w:rFonts w:ascii="Verdana" w:hAnsi="Verdana"/>
          <w:b/>
          <w:bCs/>
          <w:sz w:val="22"/>
          <w:szCs w:val="22"/>
        </w:rPr>
        <w:t>3. CONCLUSIONES</w:t>
      </w:r>
    </w:p>
    <w:p w14:paraId="5AE4D80B" w14:textId="77777777" w:rsidR="00172395" w:rsidRPr="00172395" w:rsidRDefault="00172395" w:rsidP="00172395">
      <w:pPr>
        <w:jc w:val="both"/>
        <w:rPr>
          <w:rFonts w:ascii="Verdana" w:hAnsi="Verdana"/>
          <w:sz w:val="22"/>
          <w:szCs w:val="22"/>
        </w:rPr>
      </w:pPr>
      <w:r w:rsidRPr="00172395">
        <w:rPr>
          <w:rFonts w:ascii="Verdana" w:hAnsi="Verdana"/>
          <w:sz w:val="22"/>
          <w:szCs w:val="22"/>
        </w:rPr>
        <w:t>Así las cosas y teniendo en cuenta las consideraciones de orden legal expuestas, se puede concluir lo siguiente:</w:t>
      </w:r>
    </w:p>
    <w:p w14:paraId="184100FB" w14:textId="198BF5B7" w:rsidR="00172395" w:rsidRPr="00172395" w:rsidRDefault="00172395" w:rsidP="00172395">
      <w:pPr>
        <w:jc w:val="both"/>
        <w:rPr>
          <w:rFonts w:ascii="Verdana" w:hAnsi="Verdana"/>
          <w:sz w:val="22"/>
          <w:szCs w:val="22"/>
        </w:rPr>
      </w:pPr>
      <w:r w:rsidRPr="00172395">
        <w:rPr>
          <w:rFonts w:ascii="Verdana" w:hAnsi="Verdana"/>
          <w:sz w:val="22"/>
          <w:szCs w:val="22"/>
        </w:rPr>
        <w:t xml:space="preserve">Primera: El defensor de familia debe dar estricto cumplimiento a lo ordenado por el Juez, es decir subsanar la nulidad y continuar con el procedimiento establecido </w:t>
      </w:r>
      <w:r w:rsidRPr="00172395">
        <w:rPr>
          <w:rFonts w:ascii="Verdana" w:hAnsi="Verdana"/>
          <w:sz w:val="22"/>
          <w:szCs w:val="22"/>
        </w:rPr>
        <w:lastRenderedPageBreak/>
        <w:t>en la ley, sin que ello implique pérdida de competencia, para lo cual deberá contar los términos establecidos en el parágrafo del artículo 100 de la ley 1098 de 2006, a partir del auto que reanude la actuación administrativa.</w:t>
      </w:r>
    </w:p>
    <w:p w14:paraId="10CF4EA4" w14:textId="2BBB3BE7" w:rsidR="00172395" w:rsidRPr="00172395" w:rsidRDefault="00172395" w:rsidP="00172395">
      <w:pPr>
        <w:jc w:val="both"/>
        <w:rPr>
          <w:rFonts w:ascii="Verdana" w:hAnsi="Verdana"/>
          <w:sz w:val="22"/>
          <w:szCs w:val="22"/>
        </w:rPr>
      </w:pPr>
      <w:r w:rsidRPr="00172395">
        <w:rPr>
          <w:rFonts w:ascii="Verdana" w:hAnsi="Verdana"/>
          <w:sz w:val="22"/>
          <w:szCs w:val="22"/>
        </w:rPr>
        <w:t xml:space="preserve">Por último, es preciso indicar que el presente </w:t>
      </w:r>
      <w:proofErr w:type="gramStart"/>
      <w:r w:rsidRPr="00172395">
        <w:rPr>
          <w:rFonts w:ascii="Verdana" w:hAnsi="Verdana"/>
          <w:sz w:val="22"/>
          <w:szCs w:val="22"/>
        </w:rPr>
        <w:t>concepto</w:t>
      </w:r>
      <w:r w:rsidRPr="00172395">
        <w:rPr>
          <w:rFonts w:ascii="Verdana" w:hAnsi="Verdana"/>
          <w:sz w:val="22"/>
          <w:szCs w:val="22"/>
          <w:vertAlign w:val="subscript"/>
        </w:rPr>
        <w:t>[</w:t>
      </w:r>
      <w:proofErr w:type="gramEnd"/>
      <w:r w:rsidRPr="00172395">
        <w:rPr>
          <w:rFonts w:ascii="Verdana" w:hAnsi="Verdana"/>
          <w:sz w:val="22"/>
          <w:szCs w:val="22"/>
          <w:vertAlign w:val="subscript"/>
        </w:rPr>
        <w:t>5]</w:t>
      </w:r>
      <w:r w:rsidRPr="00172395">
        <w:rPr>
          <w:rFonts w:ascii="Verdana" w:hAnsi="Verdana"/>
          <w:sz w:val="22"/>
          <w:szCs w:val="22"/>
        </w:rPr>
        <w:t xml:space="preserve"> no es de obligatorio cumplimiento o ejecución para particulares o agentes externos, de conformidad con lo establecido en la Ley 1755 de 2015. No </w:t>
      </w:r>
      <w:proofErr w:type="gramStart"/>
      <w:r w:rsidRPr="00172395">
        <w:rPr>
          <w:rFonts w:ascii="Verdana" w:hAnsi="Verdana"/>
          <w:sz w:val="22"/>
          <w:szCs w:val="22"/>
        </w:rPr>
        <w:t>obstante</w:t>
      </w:r>
      <w:proofErr w:type="gramEnd"/>
      <w:r w:rsidRPr="0017239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C08988E" w14:textId="77777777" w:rsidR="00172395" w:rsidRDefault="00172395" w:rsidP="00172395">
      <w:pPr>
        <w:jc w:val="both"/>
        <w:rPr>
          <w:rFonts w:ascii="Verdana" w:hAnsi="Verdana"/>
          <w:sz w:val="22"/>
          <w:szCs w:val="22"/>
        </w:rPr>
      </w:pPr>
      <w:r w:rsidRPr="00172395">
        <w:rPr>
          <w:rFonts w:ascii="Verdana" w:hAnsi="Verdana"/>
          <w:sz w:val="22"/>
          <w:szCs w:val="22"/>
        </w:rPr>
        <w:t>Cordialmente,</w:t>
      </w:r>
    </w:p>
    <w:p w14:paraId="7A0B0652" w14:textId="77777777" w:rsidR="00172395" w:rsidRPr="00172395" w:rsidRDefault="00172395" w:rsidP="00172395">
      <w:pPr>
        <w:jc w:val="both"/>
        <w:rPr>
          <w:rFonts w:ascii="Verdana" w:hAnsi="Verdana"/>
          <w:sz w:val="22"/>
          <w:szCs w:val="22"/>
        </w:rPr>
      </w:pPr>
    </w:p>
    <w:p w14:paraId="70D17B84" w14:textId="77777777" w:rsidR="00172395" w:rsidRPr="00172395" w:rsidRDefault="00172395" w:rsidP="00172395">
      <w:pPr>
        <w:jc w:val="both"/>
        <w:rPr>
          <w:rFonts w:ascii="Verdana" w:hAnsi="Verdana"/>
          <w:sz w:val="22"/>
          <w:szCs w:val="22"/>
        </w:rPr>
      </w:pPr>
      <w:r w:rsidRPr="00172395">
        <w:rPr>
          <w:rFonts w:ascii="Verdana" w:hAnsi="Verdana"/>
          <w:b/>
          <w:bCs/>
          <w:sz w:val="22"/>
          <w:szCs w:val="22"/>
        </w:rPr>
        <w:t>LUZ KARIME FERNANDEZ CASTILLO</w:t>
      </w:r>
    </w:p>
    <w:p w14:paraId="2F7C6194" w14:textId="77777777" w:rsidR="00172395" w:rsidRPr="00172395" w:rsidRDefault="00172395" w:rsidP="00172395">
      <w:pPr>
        <w:jc w:val="both"/>
        <w:rPr>
          <w:rFonts w:ascii="Verdana" w:hAnsi="Verdana"/>
          <w:sz w:val="22"/>
          <w:szCs w:val="22"/>
        </w:rPr>
      </w:pPr>
      <w:r w:rsidRPr="00172395">
        <w:rPr>
          <w:rFonts w:ascii="Verdana" w:hAnsi="Verdana"/>
          <w:sz w:val="22"/>
          <w:szCs w:val="22"/>
        </w:rPr>
        <w:t>Jefe Oficina Asesora Jurídica</w:t>
      </w:r>
    </w:p>
    <w:p w14:paraId="251A33EA" w14:textId="77777777" w:rsidR="00172395" w:rsidRDefault="00172395" w:rsidP="00172395">
      <w:pPr>
        <w:jc w:val="both"/>
        <w:rPr>
          <w:rFonts w:ascii="Verdana" w:hAnsi="Verdana"/>
          <w:sz w:val="22"/>
          <w:szCs w:val="22"/>
        </w:rPr>
      </w:pPr>
    </w:p>
    <w:p w14:paraId="1CF515BE" w14:textId="715C3229" w:rsidR="00172395" w:rsidRPr="00172395" w:rsidRDefault="00172395" w:rsidP="00172395">
      <w:pPr>
        <w:jc w:val="both"/>
        <w:rPr>
          <w:rFonts w:ascii="Verdana" w:hAnsi="Verdana"/>
          <w:b/>
          <w:bCs/>
          <w:sz w:val="22"/>
          <w:szCs w:val="22"/>
        </w:rPr>
      </w:pPr>
      <w:r w:rsidRPr="00172395">
        <w:rPr>
          <w:rFonts w:ascii="Verdana" w:hAnsi="Verdana"/>
          <w:b/>
          <w:bCs/>
          <w:sz w:val="22"/>
          <w:szCs w:val="22"/>
        </w:rPr>
        <w:t>Notas pie de página:</w:t>
      </w:r>
    </w:p>
    <w:p w14:paraId="222A62A4" w14:textId="79466747" w:rsidR="00172395" w:rsidRPr="00172395" w:rsidRDefault="00172395" w:rsidP="00172395">
      <w:pPr>
        <w:jc w:val="both"/>
        <w:rPr>
          <w:rFonts w:ascii="Verdana" w:hAnsi="Verdana"/>
          <w:sz w:val="22"/>
          <w:szCs w:val="22"/>
        </w:rPr>
      </w:pPr>
      <w:r w:rsidRPr="00172395">
        <w:rPr>
          <w:rFonts w:ascii="Verdana" w:hAnsi="Verdana"/>
          <w:sz w:val="22"/>
          <w:szCs w:val="22"/>
        </w:rPr>
        <w:t>1. Ley 1098 de 2006</w:t>
      </w:r>
    </w:p>
    <w:p w14:paraId="4F16FEE0" w14:textId="330E1610" w:rsidR="00172395" w:rsidRPr="00172395" w:rsidRDefault="00172395" w:rsidP="00172395">
      <w:pPr>
        <w:jc w:val="both"/>
        <w:rPr>
          <w:rFonts w:ascii="Verdana" w:hAnsi="Verdana"/>
          <w:sz w:val="22"/>
          <w:szCs w:val="22"/>
        </w:rPr>
      </w:pPr>
      <w:r w:rsidRPr="00172395">
        <w:rPr>
          <w:rFonts w:ascii="Verdana" w:hAnsi="Verdana"/>
          <w:sz w:val="22"/>
          <w:szCs w:val="22"/>
        </w:rPr>
        <w:t>2. Sentencia C - 228 de 2008</w:t>
      </w:r>
    </w:p>
    <w:p w14:paraId="403CB449" w14:textId="77777777" w:rsidR="00172395" w:rsidRPr="00172395" w:rsidRDefault="00172395" w:rsidP="00172395">
      <w:pPr>
        <w:jc w:val="both"/>
        <w:rPr>
          <w:rFonts w:ascii="Verdana" w:hAnsi="Verdana"/>
          <w:sz w:val="22"/>
          <w:szCs w:val="22"/>
        </w:rPr>
      </w:pPr>
      <w:r w:rsidRPr="00172395">
        <w:rPr>
          <w:rFonts w:ascii="Verdana" w:hAnsi="Verdana"/>
          <w:sz w:val="22"/>
          <w:szCs w:val="22"/>
        </w:rPr>
        <w:t>3. Sentencia T-125 de 2010</w:t>
      </w:r>
    </w:p>
    <w:p w14:paraId="73DD3759" w14:textId="77777777" w:rsidR="00172395" w:rsidRPr="00172395" w:rsidRDefault="00172395" w:rsidP="00172395">
      <w:pPr>
        <w:jc w:val="both"/>
        <w:rPr>
          <w:rFonts w:ascii="Verdana" w:hAnsi="Verdana"/>
          <w:sz w:val="22"/>
          <w:szCs w:val="22"/>
        </w:rPr>
      </w:pPr>
      <w:r w:rsidRPr="00172395">
        <w:rPr>
          <w:rFonts w:ascii="Verdana" w:hAnsi="Verdana"/>
          <w:sz w:val="22"/>
          <w:szCs w:val="22"/>
        </w:rPr>
        <w:t>4. "</w:t>
      </w:r>
      <w:proofErr w:type="spellStart"/>
      <w:r w:rsidRPr="00172395">
        <w:rPr>
          <w:rFonts w:ascii="Verdana" w:hAnsi="Verdana"/>
          <w:sz w:val="22"/>
          <w:szCs w:val="22"/>
        </w:rPr>
        <w:t>Exp</w:t>
      </w:r>
      <w:proofErr w:type="spellEnd"/>
      <w:r w:rsidRPr="00172395">
        <w:rPr>
          <w:rFonts w:ascii="Verdana" w:hAnsi="Verdana"/>
          <w:sz w:val="22"/>
          <w:szCs w:val="22"/>
        </w:rPr>
        <w:t xml:space="preserve">. 1100102030002010-00904-00/ Magistrado Ponente Femando </w:t>
      </w:r>
      <w:proofErr w:type="spellStart"/>
      <w:r w:rsidRPr="00172395">
        <w:rPr>
          <w:rFonts w:ascii="Verdana" w:hAnsi="Verdana"/>
          <w:sz w:val="22"/>
          <w:szCs w:val="22"/>
        </w:rPr>
        <w:t>GiraIdo</w:t>
      </w:r>
      <w:proofErr w:type="spellEnd"/>
      <w:r w:rsidRPr="00172395">
        <w:rPr>
          <w:rFonts w:ascii="Verdana" w:hAnsi="Verdana"/>
          <w:sz w:val="22"/>
          <w:szCs w:val="22"/>
        </w:rPr>
        <w:t xml:space="preserve"> Gutiérrez/ Bogotá D. C., cuatro (4) de julio de dos mil doce (2012).</w:t>
      </w:r>
    </w:p>
    <w:p w14:paraId="08A14194" w14:textId="588A777E" w:rsidR="00172395" w:rsidRPr="00172395" w:rsidRDefault="00172395" w:rsidP="00172395">
      <w:pPr>
        <w:jc w:val="both"/>
        <w:rPr>
          <w:rFonts w:ascii="Verdana" w:hAnsi="Verdana"/>
          <w:sz w:val="22"/>
          <w:szCs w:val="22"/>
        </w:rPr>
      </w:pPr>
      <w:r w:rsidRPr="00172395">
        <w:rPr>
          <w:rFonts w:ascii="Verdana" w:hAnsi="Verdana"/>
          <w:sz w:val="22"/>
          <w:szCs w:val="22"/>
        </w:rPr>
        <w:t xml:space="preserve">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w:t>
      </w:r>
      <w:r w:rsidRPr="00172395">
        <w:rPr>
          <w:rFonts w:ascii="Verdana" w:hAnsi="Verdana"/>
          <w:sz w:val="22"/>
          <w:szCs w:val="22"/>
        </w:rPr>
        <w:lastRenderedPageBreak/>
        <w:t>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687651B2" w14:textId="77777777" w:rsidR="00172395" w:rsidRPr="00172395" w:rsidRDefault="00172395" w:rsidP="00172395">
      <w:pPr>
        <w:jc w:val="both"/>
        <w:rPr>
          <w:rFonts w:ascii="Verdana" w:hAnsi="Verdana"/>
          <w:sz w:val="22"/>
          <w:szCs w:val="22"/>
        </w:rPr>
      </w:pPr>
    </w:p>
    <w:sectPr w:rsidR="00172395" w:rsidRPr="001723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5"/>
    <w:rsid w:val="00172395"/>
    <w:rsid w:val="00A869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302D"/>
  <w15:chartTrackingRefBased/>
  <w15:docId w15:val="{8B7E90ED-E2DD-434E-891E-C624EB9E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2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2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23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23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23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23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23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23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23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23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23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23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23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23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23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23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23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2395"/>
    <w:rPr>
      <w:rFonts w:eastAsiaTheme="majorEastAsia" w:cstheme="majorBidi"/>
      <w:color w:val="272727" w:themeColor="text1" w:themeTint="D8"/>
    </w:rPr>
  </w:style>
  <w:style w:type="paragraph" w:styleId="Ttulo">
    <w:name w:val="Title"/>
    <w:basedOn w:val="Normal"/>
    <w:next w:val="Normal"/>
    <w:link w:val="TtuloCar"/>
    <w:uiPriority w:val="10"/>
    <w:qFormat/>
    <w:rsid w:val="00172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23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23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23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2395"/>
    <w:pPr>
      <w:spacing w:before="160"/>
      <w:jc w:val="center"/>
    </w:pPr>
    <w:rPr>
      <w:i/>
      <w:iCs/>
      <w:color w:val="404040" w:themeColor="text1" w:themeTint="BF"/>
    </w:rPr>
  </w:style>
  <w:style w:type="character" w:customStyle="1" w:styleId="CitaCar">
    <w:name w:val="Cita Car"/>
    <w:basedOn w:val="Fuentedeprrafopredeter"/>
    <w:link w:val="Cita"/>
    <w:uiPriority w:val="29"/>
    <w:rsid w:val="00172395"/>
    <w:rPr>
      <w:i/>
      <w:iCs/>
      <w:color w:val="404040" w:themeColor="text1" w:themeTint="BF"/>
    </w:rPr>
  </w:style>
  <w:style w:type="paragraph" w:styleId="Prrafodelista">
    <w:name w:val="List Paragraph"/>
    <w:basedOn w:val="Normal"/>
    <w:uiPriority w:val="34"/>
    <w:qFormat/>
    <w:rsid w:val="00172395"/>
    <w:pPr>
      <w:ind w:left="720"/>
      <w:contextualSpacing/>
    </w:pPr>
  </w:style>
  <w:style w:type="character" w:styleId="nfasisintenso">
    <w:name w:val="Intense Emphasis"/>
    <w:basedOn w:val="Fuentedeprrafopredeter"/>
    <w:uiPriority w:val="21"/>
    <w:qFormat/>
    <w:rsid w:val="00172395"/>
    <w:rPr>
      <w:i/>
      <w:iCs/>
      <w:color w:val="0F4761" w:themeColor="accent1" w:themeShade="BF"/>
    </w:rPr>
  </w:style>
  <w:style w:type="paragraph" w:styleId="Citadestacada">
    <w:name w:val="Intense Quote"/>
    <w:basedOn w:val="Normal"/>
    <w:next w:val="Normal"/>
    <w:link w:val="CitadestacadaCar"/>
    <w:uiPriority w:val="30"/>
    <w:qFormat/>
    <w:rsid w:val="00172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2395"/>
    <w:rPr>
      <w:i/>
      <w:iCs/>
      <w:color w:val="0F4761" w:themeColor="accent1" w:themeShade="BF"/>
    </w:rPr>
  </w:style>
  <w:style w:type="character" w:styleId="Referenciaintensa">
    <w:name w:val="Intense Reference"/>
    <w:basedOn w:val="Fuentedeprrafopredeter"/>
    <w:uiPriority w:val="32"/>
    <w:qFormat/>
    <w:rsid w:val="00172395"/>
    <w:rPr>
      <w:b/>
      <w:bCs/>
      <w:smallCaps/>
      <w:color w:val="0F4761" w:themeColor="accent1" w:themeShade="BF"/>
      <w:spacing w:val="5"/>
    </w:rPr>
  </w:style>
  <w:style w:type="character" w:styleId="Hipervnculo">
    <w:name w:val="Hyperlink"/>
    <w:basedOn w:val="Fuentedeprrafopredeter"/>
    <w:uiPriority w:val="99"/>
    <w:unhideWhenUsed/>
    <w:rsid w:val="00172395"/>
    <w:rPr>
      <w:color w:val="467886" w:themeColor="hyperlink"/>
      <w:u w:val="single"/>
    </w:rPr>
  </w:style>
  <w:style w:type="character" w:styleId="Mencinsinresolver">
    <w:name w:val="Unresolved Mention"/>
    <w:basedOn w:val="Fuentedeprrafopredeter"/>
    <w:uiPriority w:val="99"/>
    <w:semiHidden/>
    <w:unhideWhenUsed/>
    <w:rsid w:val="00172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82112-A4E9-4679-9ABB-F3846B6D6DBE}"/>
</file>

<file path=customXml/itemProps2.xml><?xml version="1.0" encoding="utf-8"?>
<ds:datastoreItem xmlns:ds="http://schemas.openxmlformats.org/officeDocument/2006/customXml" ds:itemID="{E4066B4F-C74C-4BD4-B75D-17CED0F45A66}"/>
</file>

<file path=customXml/itemProps3.xml><?xml version="1.0" encoding="utf-8"?>
<ds:datastoreItem xmlns:ds="http://schemas.openxmlformats.org/officeDocument/2006/customXml" ds:itemID="{386C9F54-C4AB-4373-B0C9-73AB3C3D72BB}"/>
</file>

<file path=docProps/app.xml><?xml version="1.0" encoding="utf-8"?>
<Properties xmlns="http://schemas.openxmlformats.org/officeDocument/2006/extended-properties" xmlns:vt="http://schemas.openxmlformats.org/officeDocument/2006/docPropsVTypes">
  <Template>Normal</Template>
  <TotalTime>0</TotalTime>
  <Pages>1</Pages>
  <Words>2302</Words>
  <Characters>12662</Characters>
  <Application>Microsoft Office Word</Application>
  <DocSecurity>0</DocSecurity>
  <Lines>105</Lines>
  <Paragraphs>29</Paragraphs>
  <ScaleCrop>false</ScaleCrop>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2026-05-08T16:07:00Z</dcterms:created>
  <dcterms:modified xsi:type="dcterms:W3CDTF">2026-05-08T16:07:00Z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