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55B89" w14:textId="77777777" w:rsidR="00F32ED7" w:rsidRPr="00F32ED7" w:rsidRDefault="00F32ED7" w:rsidP="00F32ED7">
      <w:pPr>
        <w:jc w:val="center"/>
        <w:rPr>
          <w:rFonts w:ascii="Verdana" w:hAnsi="Verdana"/>
          <w:sz w:val="22"/>
          <w:szCs w:val="22"/>
        </w:rPr>
      </w:pPr>
      <w:r w:rsidRPr="00F32ED7">
        <w:rPr>
          <w:rFonts w:ascii="Verdana" w:hAnsi="Verdana"/>
          <w:b/>
          <w:bCs/>
          <w:sz w:val="22"/>
          <w:szCs w:val="22"/>
        </w:rPr>
        <w:t>CONCEPTO 93 DE 2016</w:t>
      </w:r>
    </w:p>
    <w:p w14:paraId="2E4567C5" w14:textId="77777777" w:rsidR="00F32ED7" w:rsidRPr="00F32ED7" w:rsidRDefault="00F32ED7" w:rsidP="00F32ED7">
      <w:pPr>
        <w:jc w:val="center"/>
        <w:rPr>
          <w:rFonts w:ascii="Verdana" w:hAnsi="Verdana"/>
          <w:sz w:val="22"/>
          <w:szCs w:val="22"/>
        </w:rPr>
      </w:pPr>
      <w:r w:rsidRPr="00F32ED7">
        <w:rPr>
          <w:rFonts w:ascii="Verdana" w:hAnsi="Verdana"/>
          <w:sz w:val="22"/>
          <w:szCs w:val="22"/>
        </w:rPr>
        <w:t>(agosto 16)</w:t>
      </w:r>
    </w:p>
    <w:p w14:paraId="2A6C5443" w14:textId="77777777" w:rsidR="00F32ED7" w:rsidRPr="00F32ED7" w:rsidRDefault="00F32ED7" w:rsidP="00F32ED7">
      <w:pPr>
        <w:jc w:val="center"/>
        <w:rPr>
          <w:rFonts w:ascii="Verdana" w:hAnsi="Verdana"/>
          <w:sz w:val="22"/>
          <w:szCs w:val="22"/>
        </w:rPr>
      </w:pPr>
      <w:r w:rsidRPr="00F32ED7">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5"/>
        <w:gridCol w:w="7393"/>
      </w:tblGrid>
      <w:tr w:rsidR="00F32ED7" w:rsidRPr="00F32ED7" w14:paraId="2CD0A9C7" w14:textId="77777777" w:rsidTr="00F32ED7">
        <w:trPr>
          <w:tblCellSpacing w:w="15" w:type="dxa"/>
        </w:trPr>
        <w:tc>
          <w:tcPr>
            <w:tcW w:w="792" w:type="pct"/>
            <w:tcBorders>
              <w:top w:val="nil"/>
              <w:left w:val="nil"/>
              <w:bottom w:val="nil"/>
              <w:right w:val="nil"/>
            </w:tcBorders>
            <w:tcMar>
              <w:top w:w="0" w:type="dxa"/>
              <w:left w:w="0" w:type="dxa"/>
              <w:bottom w:w="0" w:type="dxa"/>
              <w:right w:w="0" w:type="dxa"/>
            </w:tcMar>
            <w:hideMark/>
          </w:tcPr>
          <w:p w14:paraId="6F8D1AA3" w14:textId="77777777" w:rsidR="00F32ED7" w:rsidRPr="00F32ED7" w:rsidRDefault="00F32ED7" w:rsidP="00F32ED7">
            <w:pPr>
              <w:jc w:val="both"/>
              <w:rPr>
                <w:rFonts w:ascii="Verdana" w:hAnsi="Verdana"/>
                <w:sz w:val="22"/>
                <w:szCs w:val="22"/>
              </w:rPr>
            </w:pPr>
            <w:r w:rsidRPr="00F32ED7">
              <w:rPr>
                <w:rFonts w:ascii="Verdana" w:hAnsi="Verdana"/>
                <w:sz w:val="22"/>
                <w:szCs w:val="22"/>
              </w:rPr>
              <w:t>ASUNTO:</w:t>
            </w:r>
          </w:p>
        </w:tc>
        <w:tc>
          <w:tcPr>
            <w:tcW w:w="4157" w:type="pct"/>
            <w:tcBorders>
              <w:top w:val="nil"/>
              <w:left w:val="nil"/>
              <w:bottom w:val="nil"/>
              <w:right w:val="nil"/>
            </w:tcBorders>
            <w:tcMar>
              <w:top w:w="0" w:type="dxa"/>
              <w:left w:w="0" w:type="dxa"/>
              <w:bottom w:w="0" w:type="dxa"/>
              <w:right w:w="0" w:type="dxa"/>
            </w:tcMar>
            <w:hideMark/>
          </w:tcPr>
          <w:p w14:paraId="1343D860" w14:textId="77777777" w:rsidR="00F32ED7" w:rsidRPr="00F32ED7" w:rsidRDefault="00F32ED7" w:rsidP="00F32ED7">
            <w:pPr>
              <w:jc w:val="both"/>
              <w:rPr>
                <w:rFonts w:ascii="Verdana" w:hAnsi="Verdana"/>
                <w:sz w:val="22"/>
                <w:szCs w:val="22"/>
              </w:rPr>
            </w:pPr>
            <w:r w:rsidRPr="00F32ED7">
              <w:rPr>
                <w:rFonts w:ascii="Verdana" w:hAnsi="Verdana"/>
                <w:sz w:val="22"/>
                <w:szCs w:val="22"/>
              </w:rPr>
              <w:t>Solicitud radicada en el ICBF bajo el No. 388596 del 11 de agosto de 2016.</w:t>
            </w:r>
          </w:p>
        </w:tc>
      </w:tr>
    </w:tbl>
    <w:p w14:paraId="5C0DF508" w14:textId="4E6F49BB" w:rsidR="00F32ED7" w:rsidRPr="00F32ED7" w:rsidRDefault="00F32ED7" w:rsidP="00F32ED7">
      <w:pPr>
        <w:jc w:val="both"/>
        <w:rPr>
          <w:rFonts w:ascii="Verdana" w:hAnsi="Verdana"/>
          <w:sz w:val="22"/>
          <w:szCs w:val="22"/>
        </w:rPr>
      </w:pPr>
      <w:r w:rsidRPr="00F32ED7">
        <w:rPr>
          <w:rFonts w:ascii="Verdana" w:hAnsi="Verdana"/>
          <w:sz w:val="22"/>
          <w:szCs w:val="22"/>
        </w:rPr>
        <w:t>De manera atenta, en relación con la consulta del asunto, en los términos previstos en los artículos 26 del Código Civil, 13 y subsiguientes del Código de Procedimiento Administrativo y de lo Contencioso Administrativo, regulado y sustituido por la Ley 1755 de 2015 y 6o, numeral 4, del Decreto 987 de 2012, se responde la solicitud de concepto definitivo sobre el caso en cuestión, en los términos que siguen:</w:t>
      </w:r>
    </w:p>
    <w:p w14:paraId="1E7E2786" w14:textId="77777777" w:rsidR="00F32ED7" w:rsidRPr="00F32ED7" w:rsidRDefault="00F32ED7" w:rsidP="00F32ED7">
      <w:pPr>
        <w:jc w:val="both"/>
        <w:rPr>
          <w:rFonts w:ascii="Verdana" w:hAnsi="Verdana"/>
          <w:sz w:val="22"/>
          <w:szCs w:val="22"/>
        </w:rPr>
      </w:pPr>
      <w:r w:rsidRPr="00F32ED7">
        <w:rPr>
          <w:rFonts w:ascii="Verdana" w:hAnsi="Verdana"/>
          <w:b/>
          <w:bCs/>
          <w:sz w:val="22"/>
          <w:szCs w:val="22"/>
        </w:rPr>
        <w:t>1. PROBLEMA JURÍDICO</w:t>
      </w:r>
    </w:p>
    <w:p w14:paraId="68BEFD91" w14:textId="77777777" w:rsidR="00F32ED7" w:rsidRPr="00F32ED7" w:rsidRDefault="00F32ED7" w:rsidP="00F32ED7">
      <w:pPr>
        <w:jc w:val="both"/>
        <w:rPr>
          <w:rFonts w:ascii="Verdana" w:hAnsi="Verdana"/>
          <w:sz w:val="22"/>
          <w:szCs w:val="22"/>
        </w:rPr>
      </w:pPr>
      <w:r w:rsidRPr="00F32ED7">
        <w:rPr>
          <w:rFonts w:ascii="Verdana" w:hAnsi="Verdana"/>
          <w:sz w:val="22"/>
          <w:szCs w:val="22"/>
        </w:rPr>
        <w:t>¿Qué requisito se requiere para el trámite de reconocimiento de personería Jurídica por parte del ICBF para el grupo étnico Rom o Gitano?</w:t>
      </w:r>
    </w:p>
    <w:p w14:paraId="0212A53B" w14:textId="77777777" w:rsidR="00F32ED7" w:rsidRPr="00F32ED7" w:rsidRDefault="00F32ED7" w:rsidP="00F32ED7">
      <w:pPr>
        <w:jc w:val="both"/>
        <w:rPr>
          <w:rFonts w:ascii="Verdana" w:hAnsi="Verdana"/>
          <w:sz w:val="22"/>
          <w:szCs w:val="22"/>
        </w:rPr>
      </w:pPr>
      <w:r w:rsidRPr="00F32ED7">
        <w:rPr>
          <w:rFonts w:ascii="Verdana" w:hAnsi="Verdana"/>
          <w:b/>
          <w:bCs/>
          <w:sz w:val="22"/>
          <w:szCs w:val="22"/>
        </w:rPr>
        <w:t>2. ANÁLISIS DEL PROBLEMA JURÍDICO</w:t>
      </w:r>
    </w:p>
    <w:p w14:paraId="20597E16" w14:textId="77777777" w:rsidR="00F32ED7" w:rsidRPr="00F32ED7" w:rsidRDefault="00F32ED7" w:rsidP="00F32ED7">
      <w:pPr>
        <w:jc w:val="both"/>
        <w:rPr>
          <w:rFonts w:ascii="Verdana" w:hAnsi="Verdana"/>
          <w:sz w:val="22"/>
          <w:szCs w:val="22"/>
        </w:rPr>
      </w:pPr>
      <w:r w:rsidRPr="00F32ED7">
        <w:rPr>
          <w:rFonts w:ascii="Verdana" w:hAnsi="Verdana"/>
          <w:sz w:val="22"/>
          <w:szCs w:val="22"/>
        </w:rPr>
        <w:t>Se abordará el tema analizando: (2.1) El servicio Público de Bienestar Familiar y (2.2) Normatividad aplicable para el reconocimiento de las personerías jurídicas por el ICBF a las comunidades Gitanos o ROM, para la prestación del Servicio Público de Bienestar Familiar.</w:t>
      </w:r>
    </w:p>
    <w:p w14:paraId="2446C792" w14:textId="77777777" w:rsidR="00F32ED7" w:rsidRPr="00F32ED7" w:rsidRDefault="00F32ED7" w:rsidP="00F32ED7">
      <w:pPr>
        <w:jc w:val="both"/>
        <w:rPr>
          <w:rFonts w:ascii="Verdana" w:hAnsi="Verdana"/>
          <w:sz w:val="22"/>
          <w:szCs w:val="22"/>
        </w:rPr>
      </w:pPr>
      <w:r w:rsidRPr="00F32ED7">
        <w:rPr>
          <w:rFonts w:ascii="Verdana" w:hAnsi="Verdana"/>
          <w:b/>
          <w:bCs/>
          <w:sz w:val="22"/>
          <w:szCs w:val="22"/>
          <w:u w:val="single"/>
        </w:rPr>
        <w:t>(2.1) El Servicio Público de Bienestar Familiar</w:t>
      </w:r>
    </w:p>
    <w:p w14:paraId="4A62F1A6" w14:textId="58726BA4" w:rsidR="00F32ED7" w:rsidRPr="00F32ED7" w:rsidRDefault="00F32ED7" w:rsidP="00F32ED7">
      <w:pPr>
        <w:jc w:val="both"/>
        <w:rPr>
          <w:rFonts w:ascii="Verdana" w:hAnsi="Verdana"/>
          <w:sz w:val="22"/>
          <w:szCs w:val="22"/>
        </w:rPr>
      </w:pPr>
      <w:r w:rsidRPr="00F32ED7">
        <w:rPr>
          <w:rFonts w:ascii="Verdana" w:hAnsi="Verdana"/>
          <w:sz w:val="22"/>
          <w:szCs w:val="22"/>
        </w:rPr>
        <w:t xml:space="preserve">El artículo 205 del Código de la Infancia y la Adolescencia establece que él ICBF es el ente rector del Sistema Nacional de Bienestar Familiar y tiene a su cargo la articulación de las entidades responsables de la garantía de los derechos, la prevención de su vulneración, la protección y restablecimiento de </w:t>
      </w:r>
      <w:proofErr w:type="gramStart"/>
      <w:r w:rsidRPr="00F32ED7">
        <w:rPr>
          <w:rFonts w:ascii="Verdana" w:hAnsi="Verdana"/>
          <w:sz w:val="22"/>
          <w:szCs w:val="22"/>
        </w:rPr>
        <w:t>los mismos</w:t>
      </w:r>
      <w:proofErr w:type="gramEnd"/>
      <w:r w:rsidRPr="00F32ED7">
        <w:rPr>
          <w:rFonts w:ascii="Verdana" w:hAnsi="Verdana"/>
          <w:sz w:val="22"/>
          <w:szCs w:val="22"/>
        </w:rPr>
        <w:t xml:space="preserve"> en los ámbitos nacional, departamental, distrital y municipal.</w:t>
      </w:r>
    </w:p>
    <w:p w14:paraId="50DD3D54" w14:textId="21617494" w:rsidR="00F32ED7" w:rsidRPr="00F32ED7" w:rsidRDefault="00F32ED7" w:rsidP="00F32ED7">
      <w:pPr>
        <w:jc w:val="both"/>
        <w:rPr>
          <w:rFonts w:ascii="Verdana" w:hAnsi="Verdana"/>
          <w:sz w:val="22"/>
          <w:szCs w:val="22"/>
        </w:rPr>
      </w:pPr>
      <w:r w:rsidRPr="00F32ED7">
        <w:rPr>
          <w:rFonts w:ascii="Verdana" w:hAnsi="Verdana"/>
          <w:sz w:val="22"/>
          <w:szCs w:val="22"/>
        </w:rPr>
        <w:t>El Decreto 936 de 2013</w:t>
      </w:r>
      <w:r w:rsidRPr="00F32ED7">
        <w:rPr>
          <w:rFonts w:ascii="Verdana" w:hAnsi="Verdana"/>
          <w:sz w:val="22"/>
          <w:szCs w:val="22"/>
          <w:vertAlign w:val="subscript"/>
        </w:rPr>
        <w:t>[1]</w:t>
      </w:r>
      <w:r w:rsidRPr="00F32ED7">
        <w:rPr>
          <w:rFonts w:ascii="Verdana" w:hAnsi="Verdana"/>
          <w:sz w:val="22"/>
          <w:szCs w:val="22"/>
        </w:rPr>
        <w:t> establece los principios rectores del Sistema Nacional de Bienestar Familiar, indicando que:</w:t>
      </w:r>
    </w:p>
    <w:p w14:paraId="5286990E" w14:textId="3151CFBD" w:rsidR="00F32ED7" w:rsidRPr="00F32ED7" w:rsidRDefault="00F32ED7" w:rsidP="00F32ED7">
      <w:pPr>
        <w:jc w:val="both"/>
        <w:rPr>
          <w:rFonts w:ascii="Verdana" w:hAnsi="Verdana"/>
          <w:sz w:val="22"/>
          <w:szCs w:val="22"/>
        </w:rPr>
      </w:pPr>
      <w:r w:rsidRPr="00F32ED7">
        <w:rPr>
          <w:rFonts w:ascii="Verdana" w:hAnsi="Verdana"/>
          <w:i/>
          <w:iCs/>
          <w:sz w:val="22"/>
          <w:szCs w:val="22"/>
        </w:rPr>
        <w:t xml:space="preserve">“El Sistema Nacional de Bienestar Familiar está regido por las normas constitucionales de garantía de los derechos de niños, niñas y adolescentes, y de prevalencia de los derechos de la niñez, establecidos en el artículo 44 de la Carta Política; por la Ley 12 de 1991, por medio de la cual se adopta la Convención sobre los Derechos del Niño de la Asamblea General de las Naciones Unidas; por los principios de protección integral, interés superior de los niños, las niñas y los adolescentes, prevalencia de los derechos, corresponsabilidad, exigibilidad de los derechos y perspectiva de género, consagrados en los </w:t>
      </w:r>
      <w:r w:rsidRPr="00F32ED7">
        <w:rPr>
          <w:rFonts w:ascii="Verdana" w:hAnsi="Verdana"/>
          <w:i/>
          <w:iCs/>
          <w:sz w:val="22"/>
          <w:szCs w:val="22"/>
        </w:rPr>
        <w:lastRenderedPageBreak/>
        <w:t>artículos 7, 8, 9, 10. 11 y 12 de la Ley 1098 de 2006 y por los principios rectores de las políticas públicas de infancia, adolescencia y familia previstos en el artículo 203 de la misma ley".</w:t>
      </w:r>
    </w:p>
    <w:p w14:paraId="10AA8A40" w14:textId="7F978A70" w:rsidR="00F32ED7" w:rsidRPr="00F32ED7" w:rsidRDefault="00F32ED7" w:rsidP="00F32ED7">
      <w:pPr>
        <w:jc w:val="both"/>
        <w:rPr>
          <w:rFonts w:ascii="Verdana" w:hAnsi="Verdana"/>
          <w:sz w:val="22"/>
          <w:szCs w:val="22"/>
        </w:rPr>
      </w:pPr>
      <w:proofErr w:type="gramStart"/>
      <w:r w:rsidRPr="00F32ED7">
        <w:rPr>
          <w:rFonts w:ascii="Verdana" w:hAnsi="Verdana"/>
          <w:sz w:val="22"/>
          <w:szCs w:val="22"/>
        </w:rPr>
        <w:t>En relación a</w:t>
      </w:r>
      <w:proofErr w:type="gramEnd"/>
      <w:r w:rsidRPr="00F32ED7">
        <w:rPr>
          <w:rFonts w:ascii="Verdana" w:hAnsi="Verdana"/>
          <w:sz w:val="22"/>
          <w:szCs w:val="22"/>
        </w:rPr>
        <w:t xml:space="preserve"> lo anterior y teniendo en cuenta que mediante el Decreto 2388 de 1979, se reglamentan las Leyes 75 de 1968, 27 de 1974 y 7o. de 1979 se dispuso entre otras cosas que:</w:t>
      </w:r>
    </w:p>
    <w:p w14:paraId="79867CC2" w14:textId="3DD6F0D9" w:rsidR="00F32ED7" w:rsidRPr="00F32ED7" w:rsidRDefault="00F32ED7" w:rsidP="00F32ED7">
      <w:pPr>
        <w:jc w:val="both"/>
        <w:rPr>
          <w:rFonts w:ascii="Verdana" w:hAnsi="Verdana"/>
          <w:sz w:val="22"/>
          <w:szCs w:val="22"/>
        </w:rPr>
      </w:pPr>
      <w:r w:rsidRPr="00F32ED7">
        <w:rPr>
          <w:rFonts w:ascii="Verdana" w:hAnsi="Verdana"/>
          <w:b/>
          <w:bCs/>
          <w:sz w:val="22"/>
          <w:szCs w:val="22"/>
        </w:rPr>
        <w:t>Artículo </w:t>
      </w:r>
      <w:r w:rsidRPr="00F32ED7">
        <w:rPr>
          <w:rFonts w:ascii="Verdana" w:hAnsi="Verdana"/>
          <w:sz w:val="22"/>
          <w:szCs w:val="22"/>
        </w:rPr>
        <w:t>6. Integran el Sistema Nacional de Bienestar Familiar:</w:t>
      </w:r>
    </w:p>
    <w:p w14:paraId="376D1191" w14:textId="77777777" w:rsidR="00F32ED7" w:rsidRPr="00F32ED7" w:rsidRDefault="00F32ED7" w:rsidP="00F32ED7">
      <w:pPr>
        <w:jc w:val="both"/>
        <w:rPr>
          <w:rFonts w:ascii="Verdana" w:hAnsi="Verdana"/>
          <w:sz w:val="22"/>
          <w:szCs w:val="22"/>
        </w:rPr>
      </w:pPr>
      <w:r w:rsidRPr="00F32ED7">
        <w:rPr>
          <w:rFonts w:ascii="Verdana" w:hAnsi="Verdana"/>
          <w:i/>
          <w:iCs/>
          <w:sz w:val="22"/>
          <w:szCs w:val="22"/>
        </w:rPr>
        <w:t>a) El Instituto Colombiano de Bienestar Familiar (ICBF) sus regionales o agencias en los Departamentos, en el Distrito Especial de Bogotá, en las Intendencias, Comisarías y en los Municipios;</w:t>
      </w:r>
    </w:p>
    <w:p w14:paraId="6E47C183" w14:textId="77777777" w:rsidR="00F32ED7" w:rsidRPr="00F32ED7" w:rsidRDefault="00F32ED7" w:rsidP="00F32ED7">
      <w:pPr>
        <w:jc w:val="both"/>
        <w:rPr>
          <w:rFonts w:ascii="Verdana" w:hAnsi="Verdana"/>
          <w:sz w:val="22"/>
          <w:szCs w:val="22"/>
        </w:rPr>
      </w:pPr>
      <w:r w:rsidRPr="00F32ED7">
        <w:rPr>
          <w:rFonts w:ascii="Verdana" w:hAnsi="Verdana"/>
          <w:i/>
          <w:iCs/>
          <w:sz w:val="22"/>
          <w:szCs w:val="22"/>
        </w:rPr>
        <w:t>(…)</w:t>
      </w:r>
    </w:p>
    <w:p w14:paraId="51D7B6A0" w14:textId="2185EBC4" w:rsidR="00F32ED7" w:rsidRPr="00F32ED7" w:rsidRDefault="00F32ED7" w:rsidP="00F32ED7">
      <w:pPr>
        <w:jc w:val="both"/>
        <w:rPr>
          <w:rFonts w:ascii="Verdana" w:hAnsi="Verdana"/>
          <w:sz w:val="22"/>
          <w:szCs w:val="22"/>
        </w:rPr>
      </w:pPr>
      <w:r w:rsidRPr="00F32ED7">
        <w:rPr>
          <w:rFonts w:ascii="Verdana" w:hAnsi="Verdana"/>
          <w:b/>
          <w:bCs/>
          <w:i/>
          <w:iCs/>
          <w:sz w:val="22"/>
          <w:szCs w:val="22"/>
        </w:rPr>
        <w:t>Artículo </w:t>
      </w:r>
      <w:r w:rsidRPr="00F32ED7">
        <w:rPr>
          <w:rFonts w:ascii="Verdana" w:hAnsi="Verdana"/>
          <w:i/>
          <w:iCs/>
          <w:sz w:val="22"/>
          <w:szCs w:val="22"/>
        </w:rPr>
        <w:t xml:space="preserve">8. Hacen parte también del Sistema Nacional de Bienestar Familiar las entidades públicas o privadas, de carácter nacional, distrital, departamental, </w:t>
      </w:r>
      <w:proofErr w:type="spellStart"/>
      <w:r w:rsidRPr="00F32ED7">
        <w:rPr>
          <w:rFonts w:ascii="Verdana" w:hAnsi="Verdana"/>
          <w:i/>
          <w:iCs/>
          <w:sz w:val="22"/>
          <w:szCs w:val="22"/>
        </w:rPr>
        <w:t>comisariaI</w:t>
      </w:r>
      <w:proofErr w:type="spellEnd"/>
      <w:r w:rsidRPr="00F32ED7">
        <w:rPr>
          <w:rFonts w:ascii="Verdana" w:hAnsi="Verdana"/>
          <w:i/>
          <w:iCs/>
          <w:sz w:val="22"/>
          <w:szCs w:val="22"/>
        </w:rPr>
        <w:t xml:space="preserve">, </w:t>
      </w:r>
      <w:proofErr w:type="spellStart"/>
      <w:r w:rsidRPr="00F32ED7">
        <w:rPr>
          <w:rFonts w:ascii="Verdana" w:hAnsi="Verdana"/>
          <w:i/>
          <w:iCs/>
          <w:sz w:val="22"/>
          <w:szCs w:val="22"/>
        </w:rPr>
        <w:t>intendencial</w:t>
      </w:r>
      <w:proofErr w:type="spellEnd"/>
      <w:r w:rsidRPr="00F32ED7">
        <w:rPr>
          <w:rFonts w:ascii="Verdana" w:hAnsi="Verdana"/>
          <w:i/>
          <w:iCs/>
          <w:sz w:val="22"/>
          <w:szCs w:val="22"/>
        </w:rPr>
        <w:t xml:space="preserve"> o municipal, que habitualmente realicen actividades relacionadas con la protección preventiva y especial del menor, la garantía de sus derechos y la realización e integración armónica de la familia.</w:t>
      </w:r>
    </w:p>
    <w:p w14:paraId="5B85F1AA" w14:textId="69C02F93" w:rsidR="00F32ED7" w:rsidRPr="00F32ED7" w:rsidRDefault="00F32ED7" w:rsidP="00F32ED7">
      <w:pPr>
        <w:jc w:val="both"/>
        <w:rPr>
          <w:rFonts w:ascii="Verdana" w:hAnsi="Verdana"/>
          <w:sz w:val="22"/>
          <w:szCs w:val="22"/>
        </w:rPr>
      </w:pPr>
      <w:r w:rsidRPr="00F32ED7">
        <w:rPr>
          <w:rFonts w:ascii="Verdana" w:hAnsi="Verdana"/>
          <w:b/>
          <w:bCs/>
          <w:i/>
          <w:iCs/>
          <w:sz w:val="22"/>
          <w:szCs w:val="22"/>
        </w:rPr>
        <w:t>Artículo </w:t>
      </w:r>
      <w:r w:rsidRPr="00F32ED7">
        <w:rPr>
          <w:rFonts w:ascii="Verdana" w:hAnsi="Verdana"/>
          <w:i/>
          <w:iCs/>
          <w:sz w:val="22"/>
          <w:szCs w:val="22"/>
        </w:rPr>
        <w:t>12. </w:t>
      </w:r>
      <w:r w:rsidRPr="00F32ED7">
        <w:rPr>
          <w:rFonts w:ascii="Verdana" w:hAnsi="Verdana"/>
          <w:i/>
          <w:iCs/>
          <w:sz w:val="22"/>
          <w:szCs w:val="22"/>
          <w:u w:val="single"/>
        </w:rPr>
        <w:t xml:space="preserve">Las actividades que realicen las entidades mencionadas en los artículos </w:t>
      </w:r>
      <w:proofErr w:type="gramStart"/>
      <w:r w:rsidRPr="00F32ED7">
        <w:rPr>
          <w:rFonts w:ascii="Verdana" w:hAnsi="Verdana"/>
          <w:i/>
          <w:iCs/>
          <w:sz w:val="22"/>
          <w:szCs w:val="22"/>
          <w:u w:val="single"/>
        </w:rPr>
        <w:t>anteriores,</w:t>
      </w:r>
      <w:proofErr w:type="gramEnd"/>
      <w:r w:rsidRPr="00F32ED7">
        <w:rPr>
          <w:rFonts w:ascii="Verdana" w:hAnsi="Verdana"/>
          <w:i/>
          <w:iCs/>
          <w:sz w:val="22"/>
          <w:szCs w:val="22"/>
          <w:u w:val="single"/>
        </w:rPr>
        <w:t xml:space="preserve"> deberán cumplirse con estricta sujeción a las normas del servicio</w:t>
      </w:r>
      <w:r w:rsidRPr="00F32ED7">
        <w:rPr>
          <w:rFonts w:ascii="Verdana" w:hAnsi="Verdana"/>
          <w:sz w:val="22"/>
          <w:szCs w:val="22"/>
          <w:u w:val="single"/>
        </w:rPr>
        <w:t> y </w:t>
      </w:r>
      <w:r w:rsidRPr="00F32ED7">
        <w:rPr>
          <w:rFonts w:ascii="Verdana" w:hAnsi="Verdana"/>
          <w:i/>
          <w:iCs/>
          <w:sz w:val="22"/>
          <w:szCs w:val="22"/>
          <w:u w:val="single"/>
        </w:rPr>
        <w:t>a los reglamentos dictados por el ICBF.</w:t>
      </w:r>
      <w:r w:rsidRPr="00F32ED7">
        <w:rPr>
          <w:rFonts w:ascii="Verdana" w:hAnsi="Verdana"/>
          <w:i/>
          <w:iCs/>
          <w:sz w:val="22"/>
          <w:szCs w:val="22"/>
        </w:rPr>
        <w:t> (Subrayado fuera de texto).</w:t>
      </w:r>
    </w:p>
    <w:p w14:paraId="3C94E2EC" w14:textId="2142E02B" w:rsidR="00F32ED7" w:rsidRPr="00F32ED7" w:rsidRDefault="00F32ED7" w:rsidP="00F32ED7">
      <w:pPr>
        <w:jc w:val="both"/>
        <w:rPr>
          <w:rFonts w:ascii="Verdana" w:hAnsi="Verdana"/>
          <w:sz w:val="22"/>
          <w:szCs w:val="22"/>
        </w:rPr>
      </w:pPr>
      <w:r w:rsidRPr="00F32ED7">
        <w:rPr>
          <w:rFonts w:ascii="Verdana" w:hAnsi="Verdana"/>
          <w:b/>
          <w:bCs/>
          <w:i/>
          <w:iCs/>
          <w:sz w:val="22"/>
          <w:szCs w:val="22"/>
        </w:rPr>
        <w:t>Artículo</w:t>
      </w:r>
      <w:r w:rsidRPr="00F32ED7">
        <w:rPr>
          <w:rFonts w:ascii="Verdana" w:hAnsi="Verdana"/>
          <w:b/>
          <w:bCs/>
          <w:sz w:val="22"/>
          <w:szCs w:val="22"/>
        </w:rPr>
        <w:t> </w:t>
      </w:r>
      <w:r w:rsidRPr="00F32ED7">
        <w:rPr>
          <w:rFonts w:ascii="Verdana" w:hAnsi="Verdana"/>
          <w:sz w:val="22"/>
          <w:szCs w:val="22"/>
        </w:rPr>
        <w:t>27. </w:t>
      </w:r>
      <w:r w:rsidRPr="00F32ED7">
        <w:rPr>
          <w:rFonts w:ascii="Verdana" w:hAnsi="Verdana"/>
          <w:i/>
          <w:iCs/>
          <w:sz w:val="22"/>
          <w:szCs w:val="22"/>
        </w:rPr>
        <w:t>A partir de la vigencia del presente decreto, todos los organismos instituciones, agencias o entidades de carácter público o privado, que cumplan actividades de las mencionadas en el artículo 8o., deberán ceñirse a las normas del Sistema Nacional de Bienestar Familiar.</w:t>
      </w:r>
    </w:p>
    <w:p w14:paraId="36D23B3F" w14:textId="77777777" w:rsidR="00F32ED7" w:rsidRPr="00F32ED7" w:rsidRDefault="00F32ED7" w:rsidP="00F32ED7">
      <w:pPr>
        <w:jc w:val="both"/>
        <w:rPr>
          <w:rFonts w:ascii="Verdana" w:hAnsi="Verdana"/>
          <w:sz w:val="22"/>
          <w:szCs w:val="22"/>
        </w:rPr>
      </w:pPr>
      <w:r w:rsidRPr="00F32ED7">
        <w:rPr>
          <w:rFonts w:ascii="Verdana" w:hAnsi="Verdana"/>
          <w:b/>
          <w:bCs/>
          <w:i/>
          <w:iCs/>
          <w:sz w:val="22"/>
          <w:szCs w:val="22"/>
          <w:u w:val="single"/>
        </w:rPr>
        <w:t>(2.2)</w:t>
      </w:r>
      <w:r w:rsidRPr="00F32ED7">
        <w:rPr>
          <w:rFonts w:ascii="Verdana" w:hAnsi="Verdana"/>
          <w:b/>
          <w:bCs/>
          <w:sz w:val="22"/>
          <w:szCs w:val="22"/>
          <w:u w:val="single"/>
        </w:rPr>
        <w:t> Normatividad aplicable para el reconocimiento de las personerías jurídicas por el ICBF a las comunidades Gitanos o ROM, para la prestación del Servicio Público de Bienestar Familiar</w:t>
      </w:r>
    </w:p>
    <w:p w14:paraId="3A37AC9D" w14:textId="185427AF" w:rsidR="00F32ED7" w:rsidRPr="00F32ED7" w:rsidRDefault="00F32ED7" w:rsidP="00F32ED7">
      <w:pPr>
        <w:jc w:val="both"/>
        <w:rPr>
          <w:rFonts w:ascii="Verdana" w:hAnsi="Verdana"/>
          <w:sz w:val="22"/>
          <w:szCs w:val="22"/>
        </w:rPr>
      </w:pPr>
      <w:r w:rsidRPr="00F32ED7">
        <w:rPr>
          <w:rFonts w:ascii="Verdana" w:hAnsi="Verdana"/>
          <w:sz w:val="22"/>
          <w:szCs w:val="22"/>
        </w:rPr>
        <w:t>El ICBF a través de la Resolución 3899 de 2010, modificada por la Resolución 3435 de 2016, establece para los interesados en el otorgamiento de la personería jurídica por parte del ICBF o el reconocimiento para pertenecer al Sistema Nacional de Bienestar Familiar, entre otros requisitos el siguiente:</w:t>
      </w:r>
    </w:p>
    <w:p w14:paraId="04E5DCE1" w14:textId="77777777" w:rsidR="00F32ED7" w:rsidRPr="00F32ED7" w:rsidRDefault="00F32ED7" w:rsidP="00F32ED7">
      <w:pPr>
        <w:jc w:val="both"/>
        <w:rPr>
          <w:rFonts w:ascii="Verdana" w:hAnsi="Verdana"/>
          <w:sz w:val="22"/>
          <w:szCs w:val="22"/>
        </w:rPr>
      </w:pPr>
      <w:r w:rsidRPr="00F32ED7">
        <w:rPr>
          <w:rFonts w:ascii="Verdana" w:hAnsi="Verdana"/>
          <w:i/>
          <w:iCs/>
          <w:sz w:val="22"/>
          <w:szCs w:val="22"/>
        </w:rPr>
        <w:t>“(...) encontrarse legalmente constituidas, para lo cual deberán aportar documento de constitución de la persona jurídica (…)”</w:t>
      </w:r>
    </w:p>
    <w:p w14:paraId="01574F0D" w14:textId="31D1C757" w:rsidR="00F32ED7" w:rsidRPr="00F32ED7" w:rsidRDefault="00F32ED7" w:rsidP="00F32ED7">
      <w:pPr>
        <w:jc w:val="both"/>
        <w:rPr>
          <w:rFonts w:ascii="Verdana" w:hAnsi="Verdana"/>
          <w:sz w:val="22"/>
          <w:szCs w:val="22"/>
        </w:rPr>
      </w:pPr>
      <w:r w:rsidRPr="00F32ED7">
        <w:rPr>
          <w:rFonts w:ascii="Verdana" w:hAnsi="Verdana"/>
          <w:sz w:val="22"/>
          <w:szCs w:val="22"/>
        </w:rPr>
        <w:t xml:space="preserve">Ahora bien, debe decirse </w:t>
      </w:r>
      <w:proofErr w:type="gramStart"/>
      <w:r w:rsidRPr="00F32ED7">
        <w:rPr>
          <w:rFonts w:ascii="Verdana" w:hAnsi="Verdana"/>
          <w:sz w:val="22"/>
          <w:szCs w:val="22"/>
        </w:rPr>
        <w:t>que</w:t>
      </w:r>
      <w:proofErr w:type="gramEnd"/>
      <w:r w:rsidRPr="00F32ED7">
        <w:rPr>
          <w:rFonts w:ascii="Verdana" w:hAnsi="Verdana"/>
          <w:sz w:val="22"/>
          <w:szCs w:val="22"/>
        </w:rPr>
        <w:t xml:space="preserve"> frente a los grupos étnicos, existe una normativa específica que regula el trámite y la autoridad competente para certificar la representación legal. Así, concretamente para el caso de comunidades </w:t>
      </w:r>
      <w:proofErr w:type="spellStart"/>
      <w:r w:rsidRPr="00F32ED7">
        <w:rPr>
          <w:rFonts w:ascii="Verdana" w:hAnsi="Verdana"/>
          <w:sz w:val="22"/>
          <w:szCs w:val="22"/>
        </w:rPr>
        <w:t>Rrom</w:t>
      </w:r>
      <w:proofErr w:type="spellEnd"/>
      <w:r w:rsidRPr="00F32ED7">
        <w:rPr>
          <w:rFonts w:ascii="Verdana" w:hAnsi="Verdana"/>
          <w:sz w:val="22"/>
          <w:szCs w:val="22"/>
        </w:rPr>
        <w:t xml:space="preserve"> o Gitanas, el Decreto 2957 de 2010 establece el marco normativo para su </w:t>
      </w:r>
      <w:r w:rsidRPr="00F32ED7">
        <w:rPr>
          <w:rFonts w:ascii="Verdana" w:hAnsi="Verdana"/>
          <w:sz w:val="22"/>
          <w:szCs w:val="22"/>
        </w:rPr>
        <w:lastRenderedPageBreak/>
        <w:t>protección integral e indica en sus artículos 8 y 9 el trámite de Registro ante el Ministerio del Interior en el siguiente sentido:</w:t>
      </w:r>
    </w:p>
    <w:p w14:paraId="0D8058C1" w14:textId="77777777" w:rsidR="00F32ED7" w:rsidRPr="00F32ED7" w:rsidRDefault="00F32ED7" w:rsidP="00F32ED7">
      <w:pPr>
        <w:jc w:val="both"/>
        <w:rPr>
          <w:rFonts w:ascii="Verdana" w:hAnsi="Verdana"/>
          <w:sz w:val="22"/>
          <w:szCs w:val="22"/>
        </w:rPr>
      </w:pPr>
      <w:r w:rsidRPr="00F32ED7">
        <w:rPr>
          <w:rFonts w:ascii="Verdana" w:hAnsi="Verdana"/>
          <w:b/>
          <w:bCs/>
          <w:i/>
          <w:iCs/>
          <w:sz w:val="22"/>
          <w:szCs w:val="22"/>
        </w:rPr>
        <w:t xml:space="preserve">Artículo 8o. Registro de </w:t>
      </w:r>
      <w:proofErr w:type="spellStart"/>
      <w:r w:rsidRPr="00F32ED7">
        <w:rPr>
          <w:rFonts w:ascii="Verdana" w:hAnsi="Verdana"/>
          <w:b/>
          <w:bCs/>
          <w:i/>
          <w:iCs/>
          <w:sz w:val="22"/>
          <w:szCs w:val="22"/>
        </w:rPr>
        <w:t>Kumpañy</w:t>
      </w:r>
      <w:proofErr w:type="spellEnd"/>
      <w:r w:rsidRPr="00F32ED7">
        <w:rPr>
          <w:rFonts w:ascii="Verdana" w:hAnsi="Verdana"/>
          <w:i/>
          <w:iCs/>
          <w:sz w:val="22"/>
          <w:szCs w:val="22"/>
        </w:rPr>
        <w:t xml:space="preserve">. El Ministerio del Interior y </w:t>
      </w:r>
      <w:proofErr w:type="gramStart"/>
      <w:r w:rsidRPr="00F32ED7">
        <w:rPr>
          <w:rFonts w:ascii="Verdana" w:hAnsi="Verdana"/>
          <w:i/>
          <w:iCs/>
          <w:sz w:val="22"/>
          <w:szCs w:val="22"/>
        </w:rPr>
        <w:t>de  Justicia</w:t>
      </w:r>
      <w:proofErr w:type="gramEnd"/>
      <w:r w:rsidRPr="00F32ED7">
        <w:rPr>
          <w:rFonts w:ascii="Verdana" w:hAnsi="Verdana"/>
          <w:i/>
          <w:iCs/>
          <w:sz w:val="22"/>
          <w:szCs w:val="22"/>
        </w:rPr>
        <w:t xml:space="preserve"> llevará el registro de las </w:t>
      </w:r>
      <w:proofErr w:type="spellStart"/>
      <w:r w:rsidRPr="00F32ED7">
        <w:rPr>
          <w:rFonts w:ascii="Verdana" w:hAnsi="Verdana"/>
          <w:i/>
          <w:iCs/>
          <w:sz w:val="22"/>
          <w:szCs w:val="22"/>
        </w:rPr>
        <w:t>Kumpañy</w:t>
      </w:r>
      <w:proofErr w:type="spellEnd"/>
      <w:r w:rsidRPr="00F32ED7">
        <w:rPr>
          <w:rFonts w:ascii="Verdana" w:hAnsi="Verdana"/>
          <w:i/>
          <w:iCs/>
          <w:sz w:val="22"/>
          <w:szCs w:val="22"/>
        </w:rPr>
        <w:t xml:space="preserve"> del país, y de sus representantes elegidos por los miembros de cada una de ellas, </w:t>
      </w:r>
      <w:proofErr w:type="gramStart"/>
      <w:r w:rsidRPr="00F32ED7">
        <w:rPr>
          <w:rFonts w:ascii="Verdana" w:hAnsi="Verdana"/>
          <w:i/>
          <w:iCs/>
          <w:sz w:val="22"/>
          <w:szCs w:val="22"/>
        </w:rPr>
        <w:t>de acuerdo al</w:t>
      </w:r>
      <w:proofErr w:type="gramEnd"/>
      <w:r w:rsidRPr="00F32ED7">
        <w:rPr>
          <w:rFonts w:ascii="Verdana" w:hAnsi="Verdana"/>
          <w:i/>
          <w:iCs/>
          <w:sz w:val="22"/>
          <w:szCs w:val="22"/>
        </w:rPr>
        <w:t xml:space="preserve"> procedimiento interno que para ello establezcan, quienes serán los representantes ante las instituciones del Estado.</w:t>
      </w:r>
    </w:p>
    <w:p w14:paraId="0FD98BFB" w14:textId="77777777" w:rsidR="00F32ED7" w:rsidRPr="00F32ED7" w:rsidRDefault="00F32ED7" w:rsidP="00F32ED7">
      <w:pPr>
        <w:jc w:val="both"/>
        <w:rPr>
          <w:rFonts w:ascii="Verdana" w:hAnsi="Verdana"/>
          <w:sz w:val="22"/>
          <w:szCs w:val="22"/>
        </w:rPr>
      </w:pPr>
      <w:r w:rsidRPr="00F32ED7">
        <w:rPr>
          <w:rFonts w:ascii="Verdana" w:hAnsi="Verdana"/>
          <w:b/>
          <w:bCs/>
          <w:i/>
          <w:iCs/>
          <w:sz w:val="22"/>
          <w:szCs w:val="22"/>
        </w:rPr>
        <w:t>Parágrafo</w:t>
      </w:r>
      <w:r w:rsidRPr="00F32ED7">
        <w:rPr>
          <w:rFonts w:ascii="Verdana" w:hAnsi="Verdana"/>
          <w:i/>
          <w:iCs/>
          <w:sz w:val="22"/>
          <w:szCs w:val="22"/>
        </w:rPr>
        <w:t xml:space="preserve">: Los miembros de los cargos dignatarios, directivos y de autoridad de las </w:t>
      </w:r>
      <w:proofErr w:type="spellStart"/>
      <w:r w:rsidRPr="00F32ED7">
        <w:rPr>
          <w:rFonts w:ascii="Verdana" w:hAnsi="Verdana"/>
          <w:i/>
          <w:iCs/>
          <w:sz w:val="22"/>
          <w:szCs w:val="22"/>
        </w:rPr>
        <w:t>Kumpañy</w:t>
      </w:r>
      <w:proofErr w:type="spellEnd"/>
      <w:r w:rsidRPr="00F32ED7">
        <w:rPr>
          <w:rFonts w:ascii="Verdana" w:hAnsi="Verdana"/>
          <w:sz w:val="22"/>
          <w:szCs w:val="22"/>
        </w:rPr>
        <w:t>, </w:t>
      </w:r>
      <w:r w:rsidRPr="00F32ED7">
        <w:rPr>
          <w:rFonts w:ascii="Verdana" w:hAnsi="Verdana"/>
          <w:i/>
          <w:iCs/>
          <w:sz w:val="22"/>
          <w:szCs w:val="22"/>
        </w:rPr>
        <w:t>deberán en su totalidad pertenecer étnicamente al grupo étnico Rom o Gitano, desde el marco de los usos y costumbres, según las definiciones establecidas en este decreto.</w:t>
      </w:r>
    </w:p>
    <w:p w14:paraId="27DBCD13" w14:textId="77777777" w:rsidR="00F32ED7" w:rsidRPr="00F32ED7" w:rsidRDefault="00F32ED7" w:rsidP="00F32ED7">
      <w:pPr>
        <w:jc w:val="both"/>
        <w:rPr>
          <w:rFonts w:ascii="Verdana" w:hAnsi="Verdana"/>
          <w:sz w:val="22"/>
          <w:szCs w:val="22"/>
        </w:rPr>
      </w:pPr>
      <w:r w:rsidRPr="00F32ED7">
        <w:rPr>
          <w:rFonts w:ascii="Verdana" w:hAnsi="Verdana"/>
          <w:b/>
          <w:bCs/>
          <w:i/>
          <w:iCs/>
          <w:sz w:val="22"/>
          <w:szCs w:val="22"/>
        </w:rPr>
        <w:t>Artículo 9o. Requisitos para el registro</w:t>
      </w:r>
      <w:r w:rsidRPr="00F32ED7">
        <w:rPr>
          <w:rFonts w:ascii="Verdana" w:hAnsi="Verdana"/>
          <w:i/>
          <w:iCs/>
          <w:sz w:val="22"/>
          <w:szCs w:val="22"/>
        </w:rPr>
        <w:t xml:space="preserve">. El representante de la </w:t>
      </w:r>
      <w:proofErr w:type="spellStart"/>
      <w:r w:rsidRPr="00F32ED7">
        <w:rPr>
          <w:rFonts w:ascii="Verdana" w:hAnsi="Verdana"/>
          <w:i/>
          <w:iCs/>
          <w:sz w:val="22"/>
          <w:szCs w:val="22"/>
        </w:rPr>
        <w:t>Kumpania</w:t>
      </w:r>
      <w:proofErr w:type="spellEnd"/>
      <w:r w:rsidRPr="00F32ED7">
        <w:rPr>
          <w:rFonts w:ascii="Verdana" w:hAnsi="Verdana"/>
          <w:i/>
          <w:iCs/>
          <w:sz w:val="22"/>
          <w:szCs w:val="22"/>
        </w:rPr>
        <w:t xml:space="preserve"> deberá presentar por escrito la solicitud de registro ante la Dirección de Asuntos Indígenas, Minorías y Rom del Ministerio del Interior y de Justicia, o la dependencia que haga sus veces, la cual deberá acompañar con los siguientes documentos:</w:t>
      </w:r>
    </w:p>
    <w:p w14:paraId="36572C87" w14:textId="77777777" w:rsidR="00F32ED7" w:rsidRPr="00F32ED7" w:rsidRDefault="00F32ED7" w:rsidP="00F32ED7">
      <w:pPr>
        <w:jc w:val="both"/>
        <w:rPr>
          <w:rFonts w:ascii="Verdana" w:hAnsi="Verdana"/>
          <w:sz w:val="22"/>
          <w:szCs w:val="22"/>
        </w:rPr>
      </w:pPr>
      <w:r w:rsidRPr="00F32ED7">
        <w:rPr>
          <w:rFonts w:ascii="Verdana" w:hAnsi="Verdana"/>
          <w:i/>
          <w:iCs/>
          <w:sz w:val="22"/>
          <w:szCs w:val="22"/>
        </w:rPr>
        <w:t>a. Reglamento interno.</w:t>
      </w:r>
    </w:p>
    <w:p w14:paraId="49541856" w14:textId="77777777" w:rsidR="00F32ED7" w:rsidRPr="00F32ED7" w:rsidRDefault="00F32ED7" w:rsidP="00F32ED7">
      <w:pPr>
        <w:jc w:val="both"/>
        <w:rPr>
          <w:rFonts w:ascii="Verdana" w:hAnsi="Verdana"/>
          <w:sz w:val="22"/>
          <w:szCs w:val="22"/>
        </w:rPr>
      </w:pPr>
      <w:r w:rsidRPr="00F32ED7">
        <w:rPr>
          <w:rFonts w:ascii="Verdana" w:hAnsi="Verdana"/>
          <w:i/>
          <w:iCs/>
          <w:sz w:val="22"/>
          <w:szCs w:val="22"/>
        </w:rPr>
        <w:t xml:space="preserve">b. Acta de elección del representante de la </w:t>
      </w:r>
      <w:proofErr w:type="spellStart"/>
      <w:r w:rsidRPr="00F32ED7">
        <w:rPr>
          <w:rFonts w:ascii="Verdana" w:hAnsi="Verdana"/>
          <w:i/>
          <w:iCs/>
          <w:sz w:val="22"/>
          <w:szCs w:val="22"/>
        </w:rPr>
        <w:t>Kumpania</w:t>
      </w:r>
      <w:proofErr w:type="spellEnd"/>
      <w:r w:rsidRPr="00F32ED7">
        <w:rPr>
          <w:rFonts w:ascii="Verdana" w:hAnsi="Verdana"/>
          <w:i/>
          <w:iCs/>
          <w:sz w:val="22"/>
          <w:szCs w:val="22"/>
        </w:rPr>
        <w:t>, acompañada por el listado de asistentes que contengan las respectivas firmas.</w:t>
      </w:r>
    </w:p>
    <w:p w14:paraId="3A3682F2" w14:textId="77777777" w:rsidR="00F32ED7" w:rsidRPr="00F32ED7" w:rsidRDefault="00F32ED7" w:rsidP="00F32ED7">
      <w:pPr>
        <w:jc w:val="both"/>
        <w:rPr>
          <w:rFonts w:ascii="Verdana" w:hAnsi="Verdana"/>
          <w:sz w:val="22"/>
          <w:szCs w:val="22"/>
        </w:rPr>
      </w:pPr>
      <w:r w:rsidRPr="00F32ED7">
        <w:rPr>
          <w:rFonts w:ascii="Verdana" w:hAnsi="Verdana"/>
          <w:i/>
          <w:iCs/>
          <w:sz w:val="22"/>
          <w:szCs w:val="22"/>
        </w:rPr>
        <w:t>c. Dirección para correspondencia.</w:t>
      </w:r>
    </w:p>
    <w:p w14:paraId="584A4060" w14:textId="77777777" w:rsidR="00F32ED7" w:rsidRPr="00F32ED7" w:rsidRDefault="00F32ED7" w:rsidP="00F32ED7">
      <w:pPr>
        <w:jc w:val="both"/>
        <w:rPr>
          <w:rFonts w:ascii="Verdana" w:hAnsi="Verdana"/>
          <w:sz w:val="22"/>
          <w:szCs w:val="22"/>
        </w:rPr>
      </w:pPr>
      <w:r w:rsidRPr="00F32ED7">
        <w:rPr>
          <w:rFonts w:ascii="Verdana" w:hAnsi="Verdana"/>
          <w:b/>
          <w:bCs/>
          <w:sz w:val="22"/>
          <w:szCs w:val="22"/>
        </w:rPr>
        <w:t>3. CONCLUSION</w:t>
      </w:r>
    </w:p>
    <w:p w14:paraId="33948123" w14:textId="77777777" w:rsidR="00F32ED7" w:rsidRPr="00F32ED7" w:rsidRDefault="00F32ED7" w:rsidP="00F32ED7">
      <w:pPr>
        <w:jc w:val="both"/>
        <w:rPr>
          <w:rFonts w:ascii="Verdana" w:hAnsi="Verdana"/>
          <w:sz w:val="22"/>
          <w:szCs w:val="22"/>
        </w:rPr>
      </w:pPr>
      <w:r w:rsidRPr="00F32ED7">
        <w:rPr>
          <w:rFonts w:ascii="Verdana" w:hAnsi="Verdana"/>
          <w:sz w:val="22"/>
          <w:szCs w:val="22"/>
        </w:rPr>
        <w:t>Teniendo en cuenta las consideraciones de orden legal expuestas se puede concluir lo siguiente:</w:t>
      </w:r>
    </w:p>
    <w:p w14:paraId="632AE285" w14:textId="77777777" w:rsidR="00F32ED7" w:rsidRPr="00F32ED7" w:rsidRDefault="00F32ED7" w:rsidP="00F32ED7">
      <w:pPr>
        <w:jc w:val="both"/>
        <w:rPr>
          <w:rFonts w:ascii="Verdana" w:hAnsi="Verdana"/>
          <w:sz w:val="22"/>
          <w:szCs w:val="22"/>
        </w:rPr>
      </w:pPr>
      <w:r w:rsidRPr="00F32ED7">
        <w:rPr>
          <w:rFonts w:ascii="Verdana" w:hAnsi="Verdana"/>
          <w:sz w:val="22"/>
          <w:szCs w:val="22"/>
        </w:rPr>
        <w:t>Para efectos de reconocimiento de la personería jurídica para pertenecer al Sistema Nacional de Bienestar Familiar el ICBF para pueblos Rom o Gitano requiere como requisito de constitución legal, aportar el registro expedido por la Dirección de Asuntos Indígenas, Minorías y Rom del Ministerio del Interior, entidad competente para otorgarlo, según su procedimiento interno.</w:t>
      </w:r>
    </w:p>
    <w:p w14:paraId="7F40FB1A" w14:textId="24044699" w:rsidR="00F32ED7" w:rsidRPr="00F32ED7" w:rsidRDefault="00F32ED7" w:rsidP="00F32ED7">
      <w:pPr>
        <w:jc w:val="both"/>
        <w:rPr>
          <w:rFonts w:ascii="Verdana" w:hAnsi="Verdana"/>
          <w:sz w:val="22"/>
          <w:szCs w:val="22"/>
        </w:rPr>
      </w:pPr>
      <w:r w:rsidRPr="00F32ED7">
        <w:rPr>
          <w:rFonts w:ascii="Verdana" w:hAnsi="Verdana"/>
          <w:sz w:val="22"/>
          <w:szCs w:val="22"/>
        </w:rPr>
        <w:t xml:space="preserve">El presente </w:t>
      </w:r>
      <w:proofErr w:type="gramStart"/>
      <w:r w:rsidRPr="00F32ED7">
        <w:rPr>
          <w:rFonts w:ascii="Verdana" w:hAnsi="Verdana"/>
          <w:sz w:val="22"/>
          <w:szCs w:val="22"/>
        </w:rPr>
        <w:t>concepto</w:t>
      </w:r>
      <w:r w:rsidRPr="00F32ED7">
        <w:rPr>
          <w:rFonts w:ascii="Verdana" w:hAnsi="Verdana"/>
          <w:sz w:val="22"/>
          <w:szCs w:val="22"/>
          <w:vertAlign w:val="subscript"/>
        </w:rPr>
        <w:t>[</w:t>
      </w:r>
      <w:proofErr w:type="gramEnd"/>
      <w:r w:rsidRPr="00F32ED7">
        <w:rPr>
          <w:rFonts w:ascii="Verdana" w:hAnsi="Verdana"/>
          <w:sz w:val="22"/>
          <w:szCs w:val="22"/>
          <w:vertAlign w:val="subscript"/>
        </w:rPr>
        <w:t>2]</w:t>
      </w:r>
      <w:r w:rsidRPr="00F32ED7">
        <w:rPr>
          <w:rFonts w:ascii="Verdana" w:hAnsi="Verdana"/>
          <w:sz w:val="22"/>
          <w:szCs w:val="22"/>
        </w:rPr>
        <w:t xml:space="preserve"> no es de obligatorio cumplimiento o ejecución para particulares o agentes externos, de conformidad con lo establecido 1755 de 2015. No </w:t>
      </w:r>
      <w:proofErr w:type="gramStart"/>
      <w:r w:rsidRPr="00F32ED7">
        <w:rPr>
          <w:rFonts w:ascii="Verdana" w:hAnsi="Verdana"/>
          <w:sz w:val="22"/>
          <w:szCs w:val="22"/>
        </w:rPr>
        <w:t>obstante</w:t>
      </w:r>
      <w:proofErr w:type="gramEnd"/>
      <w:r w:rsidRPr="00F32ED7">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w:t>
      </w:r>
      <w:r w:rsidRPr="00F32ED7">
        <w:rPr>
          <w:rFonts w:ascii="Verdana" w:hAnsi="Verdana"/>
          <w:sz w:val="22"/>
          <w:szCs w:val="22"/>
        </w:rPr>
        <w:lastRenderedPageBreak/>
        <w:t>de las funciones del Instituto, de conformidad con los numerales 8 y 15 del Decreto 987 de 2012.</w:t>
      </w:r>
    </w:p>
    <w:p w14:paraId="7AEE1F22" w14:textId="77777777" w:rsidR="00F32ED7" w:rsidRDefault="00F32ED7" w:rsidP="00F32ED7">
      <w:pPr>
        <w:jc w:val="both"/>
        <w:rPr>
          <w:rFonts w:ascii="Verdana" w:hAnsi="Verdana"/>
          <w:sz w:val="22"/>
          <w:szCs w:val="22"/>
        </w:rPr>
      </w:pPr>
      <w:r w:rsidRPr="00F32ED7">
        <w:rPr>
          <w:rFonts w:ascii="Verdana" w:hAnsi="Verdana"/>
          <w:sz w:val="22"/>
          <w:szCs w:val="22"/>
        </w:rPr>
        <w:t>Cordialmente,</w:t>
      </w:r>
    </w:p>
    <w:p w14:paraId="3D5A8903" w14:textId="77777777" w:rsidR="00F32ED7" w:rsidRPr="00F32ED7" w:rsidRDefault="00F32ED7" w:rsidP="00F32ED7">
      <w:pPr>
        <w:jc w:val="both"/>
        <w:rPr>
          <w:rFonts w:ascii="Verdana" w:hAnsi="Verdana"/>
          <w:sz w:val="22"/>
          <w:szCs w:val="22"/>
        </w:rPr>
      </w:pPr>
    </w:p>
    <w:p w14:paraId="1C2D63F3" w14:textId="77777777" w:rsidR="00F32ED7" w:rsidRPr="00F32ED7" w:rsidRDefault="00F32ED7" w:rsidP="00F32ED7">
      <w:pPr>
        <w:jc w:val="both"/>
        <w:rPr>
          <w:rFonts w:ascii="Verdana" w:hAnsi="Verdana"/>
          <w:sz w:val="22"/>
          <w:szCs w:val="22"/>
        </w:rPr>
      </w:pPr>
      <w:r w:rsidRPr="00F32ED7">
        <w:rPr>
          <w:rFonts w:ascii="Verdana" w:hAnsi="Verdana"/>
          <w:b/>
          <w:bCs/>
          <w:sz w:val="22"/>
          <w:szCs w:val="22"/>
        </w:rPr>
        <w:t>LUZ KARIME FERNÁNDEZ CASTILLO</w:t>
      </w:r>
    </w:p>
    <w:p w14:paraId="146019DA" w14:textId="77777777" w:rsidR="00F32ED7" w:rsidRPr="00F32ED7" w:rsidRDefault="00F32ED7" w:rsidP="00F32ED7">
      <w:pPr>
        <w:jc w:val="both"/>
        <w:rPr>
          <w:rFonts w:ascii="Verdana" w:hAnsi="Verdana"/>
          <w:sz w:val="22"/>
          <w:szCs w:val="22"/>
        </w:rPr>
      </w:pPr>
      <w:r w:rsidRPr="00F32ED7">
        <w:rPr>
          <w:rFonts w:ascii="Verdana" w:hAnsi="Verdana"/>
          <w:sz w:val="22"/>
          <w:szCs w:val="22"/>
        </w:rPr>
        <w:t>Jefe Oficina Asesora Jurídica</w:t>
      </w:r>
    </w:p>
    <w:p w14:paraId="494FFAB2" w14:textId="77777777" w:rsidR="00F32ED7" w:rsidRDefault="00F32ED7" w:rsidP="00F32ED7">
      <w:pPr>
        <w:jc w:val="both"/>
        <w:rPr>
          <w:rFonts w:ascii="Verdana" w:hAnsi="Verdana"/>
          <w:sz w:val="22"/>
          <w:szCs w:val="22"/>
        </w:rPr>
      </w:pPr>
    </w:p>
    <w:p w14:paraId="78F39091" w14:textId="491A9327" w:rsidR="00F32ED7" w:rsidRPr="00F32ED7" w:rsidRDefault="00F32ED7" w:rsidP="00F32ED7">
      <w:pPr>
        <w:jc w:val="both"/>
        <w:rPr>
          <w:rFonts w:ascii="Verdana" w:hAnsi="Verdana"/>
          <w:b/>
          <w:bCs/>
          <w:sz w:val="22"/>
          <w:szCs w:val="22"/>
        </w:rPr>
      </w:pPr>
      <w:r w:rsidRPr="00F32ED7">
        <w:rPr>
          <w:rFonts w:ascii="Verdana" w:hAnsi="Verdana"/>
          <w:b/>
          <w:bCs/>
          <w:sz w:val="22"/>
          <w:szCs w:val="22"/>
        </w:rPr>
        <w:t>Notas pie de página:</w:t>
      </w:r>
    </w:p>
    <w:p w14:paraId="504A75F9" w14:textId="57E1056A" w:rsidR="00F32ED7" w:rsidRPr="00F32ED7" w:rsidRDefault="00F32ED7" w:rsidP="00F32ED7">
      <w:pPr>
        <w:jc w:val="both"/>
        <w:rPr>
          <w:rFonts w:ascii="Verdana" w:hAnsi="Verdana"/>
          <w:sz w:val="22"/>
          <w:szCs w:val="22"/>
        </w:rPr>
      </w:pPr>
      <w:r w:rsidRPr="00F32ED7">
        <w:rPr>
          <w:rFonts w:ascii="Verdana" w:hAnsi="Verdana"/>
          <w:sz w:val="22"/>
          <w:szCs w:val="22"/>
        </w:rPr>
        <w:t>1. Por el cual se reorganiza el Sistema Nacional de Bienestar Familiar, se reglamenta el inciso primero del artículo 205 de la Ley 1098 de 2006 y se dictan otras disposiciones</w:t>
      </w:r>
    </w:p>
    <w:p w14:paraId="539CB928" w14:textId="695D4B40" w:rsidR="00F32ED7" w:rsidRPr="00F32ED7" w:rsidRDefault="00F32ED7" w:rsidP="00F32ED7">
      <w:pPr>
        <w:jc w:val="both"/>
        <w:rPr>
          <w:rFonts w:ascii="Verdana" w:hAnsi="Verdana"/>
          <w:sz w:val="22"/>
          <w:szCs w:val="22"/>
        </w:rPr>
      </w:pPr>
      <w:r w:rsidRPr="00F32ED7">
        <w:rPr>
          <w:rFonts w:ascii="Verdana" w:hAnsi="Verdana"/>
          <w:sz w:val="22"/>
          <w:szCs w:val="22"/>
        </w:rPr>
        <w:t>2.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2B4C35C7" w14:textId="77777777" w:rsidR="00F32ED7" w:rsidRPr="00F32ED7" w:rsidRDefault="00F32ED7" w:rsidP="00F32ED7">
      <w:pPr>
        <w:jc w:val="both"/>
        <w:rPr>
          <w:rFonts w:ascii="Verdana" w:hAnsi="Verdana"/>
          <w:sz w:val="22"/>
          <w:szCs w:val="22"/>
        </w:rPr>
      </w:pPr>
    </w:p>
    <w:sectPr w:rsidR="00F32ED7" w:rsidRPr="00F32E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D7"/>
    <w:rsid w:val="00B92189"/>
    <w:rsid w:val="00F32E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3A6AF"/>
  <w15:chartTrackingRefBased/>
  <w15:docId w15:val="{376C3125-57EF-4729-B2A5-F27ED5E1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2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32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32ED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32ED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32ED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32ED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32ED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32ED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32ED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2ED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32ED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32ED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32ED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32ED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32E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32E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32E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32ED7"/>
    <w:rPr>
      <w:rFonts w:eastAsiaTheme="majorEastAsia" w:cstheme="majorBidi"/>
      <w:color w:val="272727" w:themeColor="text1" w:themeTint="D8"/>
    </w:rPr>
  </w:style>
  <w:style w:type="paragraph" w:styleId="Ttulo">
    <w:name w:val="Title"/>
    <w:basedOn w:val="Normal"/>
    <w:next w:val="Normal"/>
    <w:link w:val="TtuloCar"/>
    <w:uiPriority w:val="10"/>
    <w:qFormat/>
    <w:rsid w:val="00F32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32E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32ED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32E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32ED7"/>
    <w:pPr>
      <w:spacing w:before="160"/>
      <w:jc w:val="center"/>
    </w:pPr>
    <w:rPr>
      <w:i/>
      <w:iCs/>
      <w:color w:val="404040" w:themeColor="text1" w:themeTint="BF"/>
    </w:rPr>
  </w:style>
  <w:style w:type="character" w:customStyle="1" w:styleId="CitaCar">
    <w:name w:val="Cita Car"/>
    <w:basedOn w:val="Fuentedeprrafopredeter"/>
    <w:link w:val="Cita"/>
    <w:uiPriority w:val="29"/>
    <w:rsid w:val="00F32ED7"/>
    <w:rPr>
      <w:i/>
      <w:iCs/>
      <w:color w:val="404040" w:themeColor="text1" w:themeTint="BF"/>
    </w:rPr>
  </w:style>
  <w:style w:type="paragraph" w:styleId="Prrafodelista">
    <w:name w:val="List Paragraph"/>
    <w:basedOn w:val="Normal"/>
    <w:uiPriority w:val="34"/>
    <w:qFormat/>
    <w:rsid w:val="00F32ED7"/>
    <w:pPr>
      <w:ind w:left="720"/>
      <w:contextualSpacing/>
    </w:pPr>
  </w:style>
  <w:style w:type="character" w:styleId="nfasisintenso">
    <w:name w:val="Intense Emphasis"/>
    <w:basedOn w:val="Fuentedeprrafopredeter"/>
    <w:uiPriority w:val="21"/>
    <w:qFormat/>
    <w:rsid w:val="00F32ED7"/>
    <w:rPr>
      <w:i/>
      <w:iCs/>
      <w:color w:val="0F4761" w:themeColor="accent1" w:themeShade="BF"/>
    </w:rPr>
  </w:style>
  <w:style w:type="paragraph" w:styleId="Citadestacada">
    <w:name w:val="Intense Quote"/>
    <w:basedOn w:val="Normal"/>
    <w:next w:val="Normal"/>
    <w:link w:val="CitadestacadaCar"/>
    <w:uiPriority w:val="30"/>
    <w:qFormat/>
    <w:rsid w:val="00F32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32ED7"/>
    <w:rPr>
      <w:i/>
      <w:iCs/>
      <w:color w:val="0F4761" w:themeColor="accent1" w:themeShade="BF"/>
    </w:rPr>
  </w:style>
  <w:style w:type="character" w:styleId="Referenciaintensa">
    <w:name w:val="Intense Reference"/>
    <w:basedOn w:val="Fuentedeprrafopredeter"/>
    <w:uiPriority w:val="32"/>
    <w:qFormat/>
    <w:rsid w:val="00F32ED7"/>
    <w:rPr>
      <w:b/>
      <w:bCs/>
      <w:smallCaps/>
      <w:color w:val="0F4761" w:themeColor="accent1" w:themeShade="BF"/>
      <w:spacing w:val="5"/>
    </w:rPr>
  </w:style>
  <w:style w:type="character" w:styleId="Hipervnculo">
    <w:name w:val="Hyperlink"/>
    <w:basedOn w:val="Fuentedeprrafopredeter"/>
    <w:uiPriority w:val="99"/>
    <w:unhideWhenUsed/>
    <w:rsid w:val="00F32ED7"/>
    <w:rPr>
      <w:color w:val="467886" w:themeColor="hyperlink"/>
      <w:u w:val="single"/>
    </w:rPr>
  </w:style>
  <w:style w:type="character" w:styleId="Mencinsinresolver">
    <w:name w:val="Unresolved Mention"/>
    <w:basedOn w:val="Fuentedeprrafopredeter"/>
    <w:uiPriority w:val="99"/>
    <w:semiHidden/>
    <w:unhideWhenUsed/>
    <w:rsid w:val="00F32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52A58E-30AD-4A73-8AC0-4D50D3A6B877}"/>
</file>

<file path=customXml/itemProps2.xml><?xml version="1.0" encoding="utf-8"?>
<ds:datastoreItem xmlns:ds="http://schemas.openxmlformats.org/officeDocument/2006/customXml" ds:itemID="{17B487F9-D9B0-4E62-B40F-5A0670A645A3}"/>
</file>

<file path=customXml/itemProps3.xml><?xml version="1.0" encoding="utf-8"?>
<ds:datastoreItem xmlns:ds="http://schemas.openxmlformats.org/officeDocument/2006/customXml" ds:itemID="{8CEB2BBF-C3F1-4C5E-8E33-007F29A1B6D8}"/>
</file>

<file path=docProps/app.xml><?xml version="1.0" encoding="utf-8"?>
<Properties xmlns="http://schemas.openxmlformats.org/officeDocument/2006/extended-properties" xmlns:vt="http://schemas.openxmlformats.org/officeDocument/2006/docPropsVTypes">
  <Template>Normal</Template>
  <TotalTime>1</TotalTime>
  <Pages>1</Pages>
  <Words>1363</Words>
  <Characters>7498</Characters>
  <Application>Microsoft Office Word</Application>
  <DocSecurity>0</DocSecurity>
  <Lines>62</Lines>
  <Paragraphs>17</Paragraphs>
  <ScaleCrop>false</ScaleCrop>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2026-05-08T16:05:00Z</dcterms:created>
  <dcterms:modified xsi:type="dcterms:W3CDTF">2026-05-08T16:06:00Z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