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AFF" w:rsidP="00472AFF" w:rsidRDefault="00472AFF" w14:paraId="3E26B014" w14:textId="4E2B3C96">
      <w:pPr>
        <w:jc w:val="center"/>
        <w:rPr>
          <w:rFonts w:ascii="Verdana" w:hAnsi="Verdana"/>
          <w:b w:val="1"/>
          <w:bCs w:val="1"/>
          <w:sz w:val="22"/>
          <w:szCs w:val="22"/>
          <w:lang w:val="es-ES"/>
        </w:rPr>
      </w:pPr>
      <w:r w:rsidRPr="44610E95" w:rsidR="749EC156">
        <w:rPr>
          <w:rFonts w:ascii="Verdana" w:hAnsi="Verdana"/>
          <w:b w:val="1"/>
          <w:bCs w:val="1"/>
          <w:sz w:val="22"/>
          <w:szCs w:val="22"/>
          <w:lang w:val="es-ES"/>
        </w:rPr>
        <w:t>CONCEPTO No. 9 de 202</w:t>
      </w:r>
      <w:r w:rsidRPr="44610E95" w:rsidR="2C11AE78">
        <w:rPr>
          <w:rFonts w:ascii="Verdana" w:hAnsi="Verdana"/>
          <w:b w:val="1"/>
          <w:bCs w:val="1"/>
          <w:sz w:val="22"/>
          <w:szCs w:val="22"/>
          <w:lang w:val="es-ES"/>
        </w:rPr>
        <w:t>5</w:t>
      </w:r>
    </w:p>
    <w:p w:rsidR="74A12142" w:rsidP="44610E95" w:rsidRDefault="74A12142" w14:paraId="2B8BEC8F" w14:textId="388A4F40">
      <w:pPr>
        <w:jc w:val="center"/>
        <w:rPr>
          <w:rFonts w:ascii="Verdana" w:hAnsi="Verdana"/>
          <w:b w:val="0"/>
          <w:bCs w:val="0"/>
          <w:sz w:val="22"/>
          <w:szCs w:val="22"/>
          <w:lang w:val="es-ES"/>
        </w:rPr>
      </w:pPr>
      <w:r w:rsidRPr="44610E95" w:rsidR="74A12142">
        <w:rPr>
          <w:rFonts w:ascii="Verdana" w:hAnsi="Verdana"/>
          <w:b w:val="0"/>
          <w:bCs w:val="0"/>
          <w:sz w:val="22"/>
          <w:szCs w:val="22"/>
          <w:lang w:val="es-ES"/>
        </w:rPr>
        <w:t>(11 de julio)</w:t>
      </w:r>
    </w:p>
    <w:p w:rsidR="74A12142" w:rsidP="44610E95" w:rsidRDefault="74A12142" w14:paraId="3FF67911" w14:textId="683BC4D5">
      <w:pPr>
        <w:spacing w:line="276" w:lineRule="auto"/>
        <w:jc w:val="center"/>
        <w:rPr>
          <w:rFonts w:ascii="Verdana" w:hAnsi="Verdana" w:eastAsia="Verdana" w:cs="Verdana"/>
          <w:noProof w:val="0"/>
          <w:sz w:val="22"/>
          <w:szCs w:val="22"/>
          <w:lang w:val="es-ES"/>
        </w:rPr>
      </w:pPr>
      <w:r w:rsidRPr="44610E95" w:rsidR="74A12142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INSTITUTO COLOMBIANO DE BIENESTAR FAMILIAR</w:t>
      </w:r>
    </w:p>
    <w:p w:rsidR="44610E95" w:rsidP="44610E95" w:rsidRDefault="44610E95" w14:paraId="345229DF" w14:textId="060AA63D">
      <w:pPr>
        <w:spacing w:line="276" w:lineRule="auto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Pr="000C47E9" w:rsidR="000C47E9" w:rsidP="000C47E9" w:rsidRDefault="000C47E9" w14:paraId="7B1C8ADC" w14:textId="6DDDCD0F">
      <w:pPr>
        <w:jc w:val="both"/>
        <w:rPr>
          <w:rFonts w:ascii="Verdana" w:hAnsi="Verdana"/>
          <w:b/>
          <w:bCs/>
          <w:sz w:val="22"/>
          <w:szCs w:val="22"/>
        </w:rPr>
      </w:pPr>
      <w:r w:rsidRPr="000C47E9">
        <w:rPr>
          <w:rFonts w:ascii="Verdana" w:hAnsi="Verdana"/>
          <w:b/>
          <w:bCs/>
          <w:sz w:val="22"/>
          <w:szCs w:val="22"/>
        </w:rPr>
        <w:t xml:space="preserve">Para: </w:t>
      </w:r>
      <w:r>
        <w:rPr>
          <w:rFonts w:ascii="Verdana" w:hAnsi="Verdana"/>
          <w:b/>
          <w:bCs/>
          <w:sz w:val="22"/>
          <w:szCs w:val="22"/>
        </w:rPr>
        <w:tab/>
      </w:r>
      <w:r w:rsidRPr="000C47E9">
        <w:rPr>
          <w:rFonts w:ascii="Verdana" w:hAnsi="Verdana"/>
          <w:b/>
          <w:bCs/>
          <w:sz w:val="22"/>
          <w:szCs w:val="22"/>
        </w:rPr>
        <w:t>MARTHA PATRICIA MANRIQUE SOACHA</w:t>
      </w:r>
    </w:p>
    <w:p w:rsidRPr="000C47E9" w:rsidR="000C47E9" w:rsidP="000C47E9" w:rsidRDefault="000C47E9" w14:paraId="11080659" w14:textId="77777777">
      <w:pPr>
        <w:ind w:left="708" w:firstLine="708"/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Subdirectora de adopciones</w:t>
      </w:r>
    </w:p>
    <w:p w:rsidRPr="000C47E9" w:rsidR="000C47E9" w:rsidP="000C47E9" w:rsidRDefault="000C47E9" w14:paraId="7BE83183" w14:textId="7110AF52">
      <w:pPr>
        <w:jc w:val="both"/>
        <w:rPr>
          <w:rFonts w:ascii="Verdana" w:hAnsi="Verdana"/>
          <w:sz w:val="22"/>
          <w:szCs w:val="22"/>
        </w:rPr>
      </w:pPr>
      <w:r w:rsidRPr="44610E95" w:rsidR="5CCE2B3F">
        <w:rPr>
          <w:rFonts w:ascii="Verdana" w:hAnsi="Verdana"/>
          <w:b w:val="1"/>
          <w:bCs w:val="1"/>
          <w:sz w:val="22"/>
          <w:szCs w:val="22"/>
        </w:rPr>
        <w:t xml:space="preserve">Asunto: </w:t>
      </w:r>
      <w:r>
        <w:tab/>
      </w:r>
      <w:r w:rsidRPr="44610E95" w:rsidR="5CCE2B3F">
        <w:rPr>
          <w:rFonts w:ascii="Verdana" w:hAnsi="Verdana"/>
          <w:sz w:val="22"/>
          <w:szCs w:val="22"/>
        </w:rPr>
        <w:t>Consulta sobre tratamiento de datos “Libro Rojo”.</w:t>
      </w:r>
    </w:p>
    <w:p w:rsidR="000C47E9" w:rsidP="000C47E9" w:rsidRDefault="000C47E9" w14:paraId="0FB272BD" w14:textId="77777777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Respetada Subdirectora de Adopciones,</w:t>
      </w:r>
    </w:p>
    <w:p w:rsidRPr="000C47E9" w:rsidR="000C47E9" w:rsidP="000C47E9" w:rsidRDefault="000C47E9" w14:paraId="0D9628E9" w14:textId="77777777">
      <w:pPr>
        <w:jc w:val="both"/>
        <w:rPr>
          <w:rFonts w:ascii="Verdana" w:hAnsi="Verdana"/>
          <w:sz w:val="22"/>
          <w:szCs w:val="22"/>
        </w:rPr>
      </w:pPr>
    </w:p>
    <w:p w:rsidRPr="000C47E9" w:rsidR="000C47E9" w:rsidP="000C47E9" w:rsidRDefault="000C47E9" w14:paraId="39D19EE6" w14:textId="771DDF2C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En atención a la solicitud de concepto de la referencia elevado ante esta Oficina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Jurídica mediante memorando No. 202520300000130833 del pasado 10 de octubre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de 2025, esta Oficina previo análisis del ordenamiento jurídico vigente y con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fundamento en los artículos 23 de la Constitución Política, 26 del C.C., 13 del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C.P.A.C.A, sustituido por el artículo 1º de la Ley 1755 de 2015, y el numeral 4º del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artículo 6º del Decreto 987 de 2012, se da respuesta en los siguientes términos:</w:t>
      </w:r>
    </w:p>
    <w:p w:rsidRPr="000C47E9" w:rsidR="000C47E9" w:rsidP="000C47E9" w:rsidRDefault="000C47E9" w14:paraId="4CFF0799" w14:textId="5AF8FCAF">
      <w:pPr>
        <w:pStyle w:val="Prrafodelista"/>
        <w:numPr>
          <w:ilvl w:val="0"/>
          <w:numId w:val="1"/>
        </w:numPr>
        <w:jc w:val="center"/>
        <w:rPr>
          <w:rFonts w:ascii="Verdana" w:hAnsi="Verdana"/>
          <w:b/>
          <w:bCs/>
          <w:sz w:val="22"/>
          <w:szCs w:val="22"/>
        </w:rPr>
      </w:pPr>
      <w:r w:rsidRPr="000C47E9">
        <w:rPr>
          <w:rFonts w:ascii="Verdana" w:hAnsi="Verdana"/>
          <w:b/>
          <w:bCs/>
          <w:sz w:val="22"/>
          <w:szCs w:val="22"/>
        </w:rPr>
        <w:t>PROBLEMA JURÍDICO</w:t>
      </w:r>
    </w:p>
    <w:p w:rsidR="000C47E9" w:rsidP="000C47E9" w:rsidRDefault="000C47E9" w14:paraId="341CFE81" w14:textId="3040D9FB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De acuerdo con lo expresado por la Subdirección de Adopciones, le corresponde a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esta oficina determinar si ¿Es jurídicamente viable que la información contenida en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el “Libro Rojo”, que documenta las acciones adelantadas con niñas, niños y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adolescentes afectados por la tragedia de Armero, sea de conocimiento público sin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vulnerar el derecho a la intimidad, la reserva de la información y la protección de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datos personales?</w:t>
      </w:r>
    </w:p>
    <w:p w:rsidR="000C47E9" w:rsidP="000C47E9" w:rsidRDefault="000C47E9" w14:paraId="610ED10B" w14:textId="6E10221E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Cabe aclarar que, la Oficina Asesora Jurídica no conoce el contenido del “libro rojo”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no obstante, tomará como punto de partida lo señalado por la Subdirección de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Adopciones la cual indicó que, en este libro se sistematizan los servicios y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atenciones prestadas a los menores de edad que fueron víctimas de la tragedia de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Armero.</w:t>
      </w:r>
    </w:p>
    <w:p w:rsidRPr="000C47E9" w:rsidR="000C47E9" w:rsidP="000C47E9" w:rsidRDefault="000C47E9" w14:paraId="626272DE" w14:textId="1ED07047">
      <w:pPr>
        <w:pStyle w:val="Prrafodelista"/>
        <w:numPr>
          <w:ilvl w:val="0"/>
          <w:numId w:val="1"/>
        </w:numPr>
        <w:jc w:val="center"/>
        <w:rPr>
          <w:rFonts w:ascii="Verdana" w:hAnsi="Verdana"/>
          <w:b/>
          <w:bCs/>
          <w:sz w:val="22"/>
          <w:szCs w:val="22"/>
        </w:rPr>
      </w:pPr>
      <w:r w:rsidRPr="000C47E9">
        <w:rPr>
          <w:rFonts w:ascii="Verdana" w:hAnsi="Verdana"/>
          <w:b/>
          <w:bCs/>
          <w:sz w:val="22"/>
          <w:szCs w:val="22"/>
        </w:rPr>
        <w:t xml:space="preserve">RUTA METODOLÓGICA PARA RESPONDER AL PROBLEMA </w:t>
      </w:r>
      <w:r>
        <w:rPr>
          <w:rFonts w:ascii="Verdana" w:hAnsi="Verdana"/>
          <w:b/>
          <w:bCs/>
          <w:sz w:val="22"/>
          <w:szCs w:val="22"/>
        </w:rPr>
        <w:t>J</w:t>
      </w:r>
      <w:r w:rsidRPr="000C47E9">
        <w:rPr>
          <w:rFonts w:ascii="Verdana" w:hAnsi="Verdana"/>
          <w:b/>
          <w:bCs/>
          <w:sz w:val="22"/>
          <w:szCs w:val="22"/>
        </w:rPr>
        <w:t>URÍDICO</w:t>
      </w:r>
    </w:p>
    <w:p w:rsidRPr="000C47E9" w:rsidR="000C47E9" w:rsidP="000C47E9" w:rsidRDefault="000C47E9" w14:paraId="64431EB0" w14:textId="0C412A68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Para dar respuesta al problema jurídico: (i) se establecerá el marco jurídico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aplicable; (ii) se revisarán los antecedentes de la solicitud; y (iii) se realizará el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respectivo análisis jurídico al caso concreto y se dará respuesta al problema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jurídico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planteado.</w:t>
      </w:r>
    </w:p>
    <w:p w:rsidRPr="000C47E9" w:rsidR="000C47E9" w:rsidP="000C47E9" w:rsidRDefault="000C47E9" w14:paraId="7DFD2CE3" w14:textId="150F3546">
      <w:pPr>
        <w:pStyle w:val="Prrafodelista"/>
        <w:numPr>
          <w:ilvl w:val="1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0C47E9">
        <w:rPr>
          <w:rFonts w:ascii="Verdana" w:hAnsi="Verdana"/>
          <w:b/>
          <w:bCs/>
          <w:sz w:val="22"/>
          <w:szCs w:val="22"/>
        </w:rPr>
        <w:t>MARCO JURÍDICO APLICABLE</w:t>
      </w:r>
    </w:p>
    <w:p w:rsidRPr="000C47E9" w:rsidR="000C47E9" w:rsidP="000C47E9" w:rsidRDefault="000C47E9" w14:paraId="3AE8EE6A" w14:textId="77777777">
      <w:pPr>
        <w:jc w:val="both"/>
        <w:rPr>
          <w:rFonts w:ascii="Verdana" w:hAnsi="Verdana"/>
          <w:b/>
          <w:bCs/>
          <w:sz w:val="22"/>
          <w:szCs w:val="22"/>
        </w:rPr>
      </w:pPr>
    </w:p>
    <w:p w:rsidRPr="000C47E9" w:rsidR="000C47E9" w:rsidP="000C47E9" w:rsidRDefault="000C47E9" w14:paraId="66DC5547" w14:textId="3689D951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Con el fin de resolver el asunto se tendrá en cuenta el contenido de la Ley 1712 de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2014. Asimismo, se examinarán las disposiciones en materia de reserva de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información contenidas en la Ley 1098 de 2006, modificada por la Ley 1878 de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2018; la Ley 1581 de 2012, el Decreto 1377 de 2013, que posteriormente fue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unificado en el Decreto 1074 de 2015 y demás normas relacionadas. Adicionalmente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se revisará jurisprudencia de la Corte Constitucional.</w:t>
      </w:r>
    </w:p>
    <w:p w:rsidRPr="000C47E9" w:rsidR="000C47E9" w:rsidP="000C47E9" w:rsidRDefault="000C47E9" w14:paraId="2546621B" w14:textId="31498B52">
      <w:pPr>
        <w:pStyle w:val="Prrafodelista"/>
        <w:numPr>
          <w:ilvl w:val="1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0C47E9">
        <w:rPr>
          <w:rFonts w:ascii="Verdana" w:hAnsi="Verdana"/>
          <w:b/>
          <w:bCs/>
          <w:sz w:val="22"/>
          <w:szCs w:val="22"/>
        </w:rPr>
        <w:t>ANTECEDENTES EXPUESTOS POR LA SUBDIRECCIÓN DE ADOPCIONES</w:t>
      </w:r>
    </w:p>
    <w:p w:rsidRPr="000C47E9" w:rsidR="000C47E9" w:rsidP="000C47E9" w:rsidRDefault="000C47E9" w14:paraId="695C7923" w14:textId="470777AD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El “Libro Rojo”, elaborado por la Regional Tolima en el marco de la atención a la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niñez afectada por la tragedia de Armero, recopila información sobre las acciones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adelantadas para la protección de niños, niñas y adolescentes, así como las medidas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de reunificación familiar. La sistematización de dicho documento contiene registros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y resúmenes de historias de atención correspondientes a actuaciones realizadas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hace aproximadamente 39 años. Dada la naturaleza de los hechos y el contenido de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los datos, la información allí consignada puede considerarse de carácter sensible, en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tanto su divulgación podría comprometer los derechos fundamentales de las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personas involucradas. No obstante, su posible uso o difusión podría valorarse en el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contexto de procesos de reconstrucción de memoria institucional, siempre que se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garantice el respeto por la reserva y la confidencialidad de la información.</w:t>
      </w:r>
    </w:p>
    <w:p w:rsidR="000C47E9" w:rsidP="000C47E9" w:rsidRDefault="000C47E9" w14:paraId="4A446F84" w14:textId="368CBE4D">
      <w:pPr>
        <w:pStyle w:val="Prrafodelista"/>
        <w:numPr>
          <w:ilvl w:val="0"/>
          <w:numId w:val="1"/>
        </w:numPr>
        <w:jc w:val="center"/>
        <w:rPr>
          <w:rFonts w:ascii="Verdana" w:hAnsi="Verdana"/>
          <w:b/>
          <w:bCs/>
          <w:sz w:val="22"/>
          <w:szCs w:val="22"/>
        </w:rPr>
      </w:pPr>
      <w:r w:rsidRPr="000C47E9">
        <w:rPr>
          <w:rFonts w:ascii="Verdana" w:hAnsi="Verdana"/>
          <w:b/>
          <w:bCs/>
          <w:sz w:val="22"/>
          <w:szCs w:val="22"/>
        </w:rPr>
        <w:t>ANÁLISIS JURÍDICO</w:t>
      </w:r>
    </w:p>
    <w:p w:rsidRPr="000C47E9" w:rsidR="000C47E9" w:rsidP="000C47E9" w:rsidRDefault="000C47E9" w14:paraId="26F7667F" w14:textId="77777777">
      <w:pPr>
        <w:pStyle w:val="Prrafodelista"/>
        <w:jc w:val="both"/>
        <w:rPr>
          <w:rFonts w:ascii="Verdana" w:hAnsi="Verdana"/>
          <w:b/>
          <w:bCs/>
          <w:sz w:val="22"/>
          <w:szCs w:val="22"/>
        </w:rPr>
      </w:pPr>
    </w:p>
    <w:p w:rsidRPr="000C47E9" w:rsidR="000C47E9" w:rsidP="000C47E9" w:rsidRDefault="000C47E9" w14:paraId="116FB781" w14:textId="49855F37">
      <w:pPr>
        <w:pStyle w:val="Prrafodelista"/>
        <w:numPr>
          <w:ilvl w:val="1"/>
          <w:numId w:val="1"/>
        </w:numPr>
        <w:jc w:val="both"/>
        <w:rPr>
          <w:rFonts w:ascii="Verdana" w:hAnsi="Verdana"/>
          <w:b/>
          <w:bCs/>
          <w:sz w:val="22"/>
          <w:szCs w:val="22"/>
        </w:rPr>
      </w:pPr>
      <w:r w:rsidRPr="000C47E9">
        <w:rPr>
          <w:rFonts w:ascii="Verdana" w:hAnsi="Verdana"/>
          <w:b/>
          <w:bCs/>
          <w:sz w:val="22"/>
          <w:szCs w:val="22"/>
        </w:rPr>
        <w:t>Del derecho a la intimidad.</w:t>
      </w:r>
    </w:p>
    <w:p w:rsidRPr="000C47E9" w:rsidR="000C47E9" w:rsidP="000C47E9" w:rsidRDefault="000C47E9" w14:paraId="5172A248" w14:textId="2A9B3E37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La Corte Constitucional, a partir de la sentencia T-414 de 1992, reconoció la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intimidad como un derecho fundamental que garantiza a toda persona la posibilidad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de conducir libremente su propia existencia, con el mínimo de injerencias externas.</w:t>
      </w:r>
    </w:p>
    <w:p w:rsidRPr="001D5B63" w:rsidR="001D5B63" w:rsidP="001D5B63" w:rsidRDefault="000C47E9" w14:paraId="49D7BD91" w14:textId="7F4ACF32">
      <w:pPr>
        <w:jc w:val="both"/>
        <w:rPr>
          <w:rFonts w:ascii="Verdana" w:hAnsi="Verdana"/>
          <w:sz w:val="22"/>
          <w:szCs w:val="22"/>
        </w:rPr>
      </w:pPr>
      <w:r w:rsidRPr="000C47E9">
        <w:rPr>
          <w:rFonts w:ascii="Verdana" w:hAnsi="Verdana"/>
          <w:sz w:val="22"/>
          <w:szCs w:val="22"/>
        </w:rPr>
        <w:t>Este derecho fue definido como general, absoluto, extrapatrimonial, inalienable,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imprescriptible y oponible “erga omnes”, tanto frente al Estado como frente a los</w:t>
      </w:r>
      <w:r>
        <w:rPr>
          <w:rFonts w:ascii="Verdana" w:hAnsi="Verdana"/>
          <w:sz w:val="22"/>
          <w:szCs w:val="22"/>
        </w:rPr>
        <w:t xml:space="preserve"> </w:t>
      </w:r>
      <w:r w:rsidRPr="000C47E9">
        <w:rPr>
          <w:rFonts w:ascii="Verdana" w:hAnsi="Verdana"/>
          <w:sz w:val="22"/>
          <w:szCs w:val="22"/>
        </w:rPr>
        <w:t>particulares. En virtud de ello, toda persona es titular del derecho a la intimidad y la</w:t>
      </w:r>
      <w:r w:rsidR="001D5B63">
        <w:rPr>
          <w:rFonts w:ascii="Verdana" w:hAnsi="Verdana"/>
          <w:sz w:val="22"/>
          <w:szCs w:val="22"/>
        </w:rPr>
        <w:t xml:space="preserve"> </w:t>
      </w:r>
      <w:r w:rsidRPr="001D5B63" w:rsidR="001D5B63">
        <w:rPr>
          <w:rFonts w:ascii="Verdana" w:hAnsi="Verdana"/>
          <w:sz w:val="22"/>
          <w:szCs w:val="22"/>
        </w:rPr>
        <w:t>única legitimada para autorizar la divulgación de los datos relativos a su vida</w:t>
      </w:r>
      <w:r w:rsidR="001D5B63">
        <w:rPr>
          <w:rFonts w:ascii="Verdana" w:hAnsi="Verdana"/>
          <w:sz w:val="22"/>
          <w:szCs w:val="22"/>
        </w:rPr>
        <w:t xml:space="preserve"> </w:t>
      </w:r>
      <w:r w:rsidRPr="001D5B63" w:rsidR="001D5B63">
        <w:rPr>
          <w:rFonts w:ascii="Verdana" w:hAnsi="Verdana"/>
          <w:sz w:val="22"/>
          <w:szCs w:val="22"/>
        </w:rPr>
        <w:t>privada, cuya finalidad es la protección de intereses morales y personales.</w:t>
      </w:r>
    </w:p>
    <w:p w:rsidRPr="001D5B63" w:rsidR="001D5B63" w:rsidP="001D5B63" w:rsidRDefault="001D5B63" w14:paraId="38870A0B" w14:textId="2CFADD68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Asimismo, la intimidad constituye un ámbito intangible e inmune a las intromisiones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externas, que comprende el derecho a no ser visto, escuchado o perturbado contra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la propia voluntad.</w:t>
      </w:r>
    </w:p>
    <w:p w:rsidRPr="001D5B63" w:rsidR="001D5B63" w:rsidP="001D5B63" w:rsidRDefault="001D5B63" w14:paraId="7E7FA7D4" w14:textId="296A4E4E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lastRenderedPageBreak/>
        <w:t>Esta Corporación, al definir los alcances del derecho fundamental, ha señalado</w:t>
      </w:r>
      <w:r>
        <w:rPr>
          <w:rFonts w:ascii="Verdana" w:hAnsi="Verdana"/>
          <w:sz w:val="22"/>
          <w:szCs w:val="22"/>
        </w:rPr>
        <w:t xml:space="preserve"> q</w:t>
      </w:r>
      <w:r w:rsidRPr="001D5B63">
        <w:rPr>
          <w:rFonts w:ascii="Verdana" w:hAnsi="Verdana"/>
          <w:sz w:val="22"/>
          <w:szCs w:val="22"/>
        </w:rPr>
        <w:t>ue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su núcleo esencial radica en la existencia de una esfera privada inmune 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injerencias arbitrarias de terceros o del Estado. En la jurisprudencia de 19981, la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Corte precisó que la intimidad garantiza a toda persona un ámbito de vida personal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y familiar libre de interferencias externas, como expresión de la libertad individual, y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que solo puede ser objeto de limitaciones cuando concurran razones legítimas de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interés general, debidamente justificadas en el marco de la Constitución. Por tanto,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se trata de un derecho inalienable, imprescriptible y solo restringible bajo criterios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estrictamente constitucionales.</w:t>
      </w:r>
    </w:p>
    <w:p w:rsidRPr="001D5B63" w:rsidR="001D5B63" w:rsidP="001D5B63" w:rsidRDefault="001D5B63" w14:paraId="1BC16F36" w14:textId="58645AEB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Posteriormente, en la Sentencia T-787 de 2004, la Corte desarrolló el alcance de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tales limitaciones, reiterando que, salvo las excepciones previstas en la Constitución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 xml:space="preserve">o la ley, </w:t>
      </w:r>
      <w:r w:rsidRPr="001D5B63">
        <w:rPr>
          <w:rFonts w:ascii="Verdana" w:hAnsi="Verdana"/>
          <w:b/>
          <w:bCs/>
          <w:sz w:val="22"/>
          <w:szCs w:val="22"/>
        </w:rPr>
        <w:t>la información perteneciente al ámbito personal no puede ser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1D5B63">
        <w:rPr>
          <w:rFonts w:ascii="Verdana" w:hAnsi="Verdana"/>
          <w:b/>
          <w:bCs/>
          <w:sz w:val="22"/>
          <w:szCs w:val="22"/>
        </w:rPr>
        <w:t>divulgada sin el consentimiento del titular</w:t>
      </w:r>
      <w:r w:rsidRPr="001D5B63">
        <w:rPr>
          <w:rFonts w:ascii="Verdana" w:hAnsi="Verdana"/>
          <w:sz w:val="22"/>
          <w:szCs w:val="22"/>
        </w:rPr>
        <w:t>. Solo la información de relevancia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pública puede ser objeto de revelación obligatoria, en atención a finalidades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constitucionalmente legítimas. Con ello, la Corte reafirmó que la autodeterminación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informativa es un componente esencial del derecho a la intimidad.</w:t>
      </w:r>
    </w:p>
    <w:p w:rsidRPr="001D5B63" w:rsidR="001D5B63" w:rsidP="001D5B63" w:rsidRDefault="001D5B63" w14:paraId="2F15C20B" w14:textId="46D9514D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Aunadamente, precisó que la protección del núcleo esencial del derecho a la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intimidad requiere la existencia de espacios personales excluidos del dominio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 xml:space="preserve">público, donde los individuos puedan desarrollarse libremente. En estos espacios, </w:t>
      </w:r>
      <w:r w:rsidRPr="001D5B63">
        <w:rPr>
          <w:rFonts w:ascii="Verdana" w:hAnsi="Verdana"/>
          <w:sz w:val="22"/>
          <w:szCs w:val="22"/>
        </w:rPr>
        <w:t>el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derecho a guardar silencio constituye</w:t>
      </w:r>
      <w:r w:rsidRPr="001D5B63">
        <w:rPr>
          <w:rFonts w:ascii="Verdana" w:hAnsi="Verdana"/>
          <w:sz w:val="22"/>
          <w:szCs w:val="22"/>
        </w:rPr>
        <w:t xml:space="preserve"> pilares esenciales para la realización plena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de la vida privada, al garantizar que la personalidad del individuo se despliegue sin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coacciones ni vigilancia indebida.</w:t>
      </w:r>
    </w:p>
    <w:p w:rsidR="000C47E9" w:rsidP="001D5B63" w:rsidRDefault="001D5B63" w14:paraId="3A56E450" w14:textId="092F2715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Finalmente, identificó cinco principios rectores que sustentan la protección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constitucional del derecho a la intimidad y legitiman, en casos excepcionales, su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intervención: libertad (tratamiento de datos solo con consentimiento o mandato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legal), finalidad (divulgación de datos únicamente para fines constitucionalmente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legítimos), necesidad (limitación de la información a lo estrictamente pertinente),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veracidad (exigencia de correspondencia con hechos reales) e integridad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(prohibición de divulgar información parcial o fragmentada). En conjunto, estos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principios aseguran la intangibilidad del ámbito íntimo y garantizan la neutralidad,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proporcionalidad y legitimidad en el acceso y manejo de la información personal.</w:t>
      </w:r>
    </w:p>
    <w:p w:rsidRPr="001D5B63" w:rsidR="001D5B63" w:rsidP="001D5B63" w:rsidRDefault="001D5B63" w14:paraId="03BCD746" w14:textId="0A9D2819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Así mismo, es preciso indicar que este derecho se encuentra íntimamente vinculado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con el tratamiento y manejo de los datos personales relativos a la vida privada de su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titular, los cuales constituyen información reservada en tanto se refieren a aspectos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que solo le conciernen y cuya protección resulta esencial para la garantía de sus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derechos fundamentales a la dignidad humana, la intimidad y la libertad personal.</w:t>
      </w:r>
    </w:p>
    <w:p w:rsidRPr="001D5B63" w:rsidR="001D5B63" w:rsidP="001D5B63" w:rsidRDefault="001D5B63" w14:paraId="4DACE601" w14:textId="67A31D38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lastRenderedPageBreak/>
        <w:t>Dentro de esta categoría se incluyen, entre otros, los datos relacionados con la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orientación sexual, el credo religioso, ideológico o político, la información genética y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los hábitos personales. Es preciso resaltar que este tipo de información no puede ser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objeto de acceso, tratamiento o divulgación por parte de terceros, salvo en los casos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expresamente autorizados por la Constitución o la ley, atendiendo al carácter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sensible y reservado que la misma ostenta.</w:t>
      </w:r>
    </w:p>
    <w:p w:rsidRPr="001D5B63" w:rsidR="001D5B63" w:rsidP="001D5B63" w:rsidRDefault="001D5B63" w14:paraId="3279D208" w14:textId="014F4CA7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La clasificación de los datos personales reviste un sentido práctico y jurídico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esencial, en tanto constituye un criterio determinante para establecer los límites de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su divulgación y definir el nivel de protección aplicable conforme a su naturaleza. En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este contexto, el sujeto o entidad responsable del tratamiento de la información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debe atender a dicha clasificación para garantizar el manejo adecuado de los datos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y la observancia de los principios rectores que rigen su administración, tales como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los de finalidad, necesidad, veracidad, seguridad y confidencialidad.</w:t>
      </w:r>
    </w:p>
    <w:p w:rsidRPr="001D5B63" w:rsidR="001D5B63" w:rsidP="001D5B63" w:rsidRDefault="001D5B63" w14:paraId="067B497D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1D5B63">
        <w:rPr>
          <w:rFonts w:ascii="Verdana" w:hAnsi="Verdana"/>
          <w:b/>
          <w:bCs/>
          <w:sz w:val="22"/>
          <w:szCs w:val="22"/>
        </w:rPr>
        <w:t>3.2. De la normativa aplicable al tratamiento de información de los datos</w:t>
      </w:r>
    </w:p>
    <w:p w:rsidRPr="001D5B63" w:rsidR="001D5B63" w:rsidP="001D5B63" w:rsidRDefault="001D5B63" w14:paraId="59374A4D" w14:textId="392A522D">
      <w:pPr>
        <w:jc w:val="both"/>
        <w:rPr>
          <w:rFonts w:ascii="Verdana" w:hAnsi="Verdana"/>
          <w:b/>
          <w:bCs/>
          <w:sz w:val="22"/>
          <w:szCs w:val="22"/>
        </w:rPr>
      </w:pPr>
      <w:r w:rsidRPr="001D5B63">
        <w:rPr>
          <w:rFonts w:ascii="Verdana" w:hAnsi="Verdana"/>
          <w:b/>
          <w:bCs/>
          <w:sz w:val="22"/>
          <w:szCs w:val="22"/>
        </w:rPr>
        <w:t>personales.</w:t>
      </w:r>
    </w:p>
    <w:p w:rsidRPr="001D5B63" w:rsidR="001D5B63" w:rsidP="001D5B63" w:rsidRDefault="001D5B63" w14:paraId="0A9238BD" w14:textId="535AE3F5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 xml:space="preserve">De conformidad con lo dispuesto en el artículo 5 de la Ley 1712 de 2014, todas </w:t>
      </w:r>
      <w:r>
        <w:rPr>
          <w:rFonts w:ascii="Verdana" w:hAnsi="Verdana"/>
          <w:sz w:val="22"/>
          <w:szCs w:val="22"/>
        </w:rPr>
        <w:t xml:space="preserve"> l</w:t>
      </w:r>
      <w:r w:rsidRPr="001D5B63">
        <w:rPr>
          <w:rFonts w:ascii="Verdana" w:hAnsi="Verdana"/>
          <w:sz w:val="22"/>
          <w:szCs w:val="22"/>
        </w:rPr>
        <w:t>as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entidades públicas tienen la calidad de sujetos obligados, así las cosas y en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concordancia con lo establecido en el artículo 2 de la misma norma, toda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información que se encuentre en posesión, bajo el control o custodia de un sujeto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obligado, tiene, carácter público y únicamente podrá ser objeto de reserva 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limitación por disposición expresa de rango constitucional o legal, conforme a lo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previsto en la referida ley.</w:t>
      </w:r>
    </w:p>
    <w:p w:rsidRPr="001D5B63" w:rsidR="001D5B63" w:rsidP="001D5B63" w:rsidRDefault="001D5B63" w14:paraId="0D06779A" w14:textId="159963E5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En tal sentido, la información que repose en el ICBF, en su calidad de entidad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pública y sujeto obligado, por regla general, es de carácter público. No obstante,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esta regla admite dos excepciones, por un lado, la información pública reservada y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por el otro, la información pública clasificada, cuyos conceptos se abordan a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continuación:</w:t>
      </w:r>
    </w:p>
    <w:p w:rsidRPr="001D5B63" w:rsidR="001D5B63" w:rsidP="001D5B63" w:rsidRDefault="001D5B63" w14:paraId="4C2714EE" w14:textId="77777777">
      <w:pPr>
        <w:jc w:val="both"/>
        <w:rPr>
          <w:rFonts w:ascii="Verdana" w:hAnsi="Verdana"/>
          <w:sz w:val="22"/>
          <w:szCs w:val="22"/>
          <w:u w:val="single"/>
        </w:rPr>
      </w:pPr>
      <w:r w:rsidRPr="001D5B63">
        <w:rPr>
          <w:rFonts w:ascii="Verdana" w:hAnsi="Verdana"/>
          <w:sz w:val="22"/>
          <w:szCs w:val="22"/>
          <w:u w:val="single"/>
        </w:rPr>
        <w:t>A. Información pública reservada:</w:t>
      </w:r>
    </w:p>
    <w:p w:rsidR="001D5B63" w:rsidP="001D5B63" w:rsidRDefault="001D5B63" w14:paraId="69AB280A" w14:textId="125ABAF7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El artículo 6 de la ley 1712 de 2014 indica que esta corresponde a:</w:t>
      </w:r>
    </w:p>
    <w:p w:rsidRPr="001D5B63" w:rsidR="001D5B63" w:rsidP="001D5B63" w:rsidRDefault="001D5B63" w14:paraId="6B6619BD" w14:textId="2D044D46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1D5B63">
        <w:rPr>
          <w:rFonts w:ascii="Verdana" w:hAnsi="Verdana"/>
          <w:i/>
          <w:iCs/>
          <w:sz w:val="22"/>
          <w:szCs w:val="22"/>
        </w:rPr>
        <w:t>Aquella información que estando en poder o custodia de un sujeto obligado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en su calidad de tal, es exceptuada de acceso a la ciudadanía por daño 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intereses públicos y bajo cumplimiento de la totalidad de los requisitos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consagrados en el artículo 19 de esta ley</w:t>
      </w:r>
      <w:r>
        <w:rPr>
          <w:rFonts w:ascii="Verdana" w:hAnsi="Verdana"/>
          <w:i/>
          <w:iCs/>
          <w:sz w:val="22"/>
          <w:szCs w:val="22"/>
        </w:rPr>
        <w:t xml:space="preserve"> </w:t>
      </w:r>
    </w:p>
    <w:p w:rsidRPr="001D5B63" w:rsidR="001D5B63" w:rsidP="001D5B63" w:rsidRDefault="001D5B63" w14:paraId="46F65BCD" w14:textId="77777777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Por su parte el artículo 19 de la citada norma señala lo siguiente:</w:t>
      </w:r>
    </w:p>
    <w:p w:rsidRPr="001D5B63" w:rsidR="001D5B63" w:rsidP="001D5B63" w:rsidRDefault="001D5B63" w14:paraId="1A77B722" w14:textId="0509A9D4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1D5B63">
        <w:rPr>
          <w:rFonts w:ascii="Verdana" w:hAnsi="Verdana"/>
          <w:b/>
          <w:bCs/>
          <w:sz w:val="22"/>
          <w:szCs w:val="22"/>
        </w:rPr>
        <w:lastRenderedPageBreak/>
        <w:t xml:space="preserve">Información exceptuada por daño a los intereses públicos. </w:t>
      </w:r>
      <w:r w:rsidRPr="001D5B63">
        <w:rPr>
          <w:rFonts w:ascii="Verdana" w:hAnsi="Verdana"/>
          <w:i/>
          <w:iCs/>
          <w:sz w:val="22"/>
          <w:szCs w:val="22"/>
        </w:rPr>
        <w:t>Es toda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aquella información pública reservada, cuyo acceso podrá ser rechazado 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denegado de manera motivada y por escrito en las siguientes circunstancias,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siempre que dicho acceso estuviere expresamente prohibido por una norma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legal o constitucional:</w:t>
      </w:r>
    </w:p>
    <w:p w:rsidRPr="001D5B63" w:rsidR="001D5B63" w:rsidP="001D5B63" w:rsidRDefault="001D5B63" w14:paraId="7DB953F0" w14:textId="77777777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1D5B63">
        <w:rPr>
          <w:rFonts w:ascii="Verdana" w:hAnsi="Verdana"/>
          <w:i/>
          <w:iCs/>
          <w:sz w:val="22"/>
          <w:szCs w:val="22"/>
        </w:rPr>
        <w:t>(...)</w:t>
      </w:r>
    </w:p>
    <w:p w:rsidR="001D5B63" w:rsidP="001D5B63" w:rsidRDefault="001D5B63" w14:paraId="5466ADFF" w14:textId="77777777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b/>
          <w:bCs/>
          <w:i/>
          <w:iCs/>
          <w:sz w:val="22"/>
          <w:szCs w:val="22"/>
        </w:rPr>
        <w:t xml:space="preserve">g) Los derechos de la infancia y la adolescencia; </w:t>
      </w:r>
      <w:r w:rsidRPr="001D5B63">
        <w:rPr>
          <w:rFonts w:ascii="Verdana" w:hAnsi="Verdana"/>
          <w:sz w:val="22"/>
          <w:szCs w:val="22"/>
        </w:rPr>
        <w:t>(negrilla fuera de</w:t>
      </w:r>
      <w:r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texto).</w:t>
      </w:r>
      <w:r>
        <w:rPr>
          <w:rFonts w:ascii="Verdana" w:hAnsi="Verdana"/>
          <w:sz w:val="22"/>
          <w:szCs w:val="22"/>
        </w:rPr>
        <w:t xml:space="preserve"> </w:t>
      </w:r>
    </w:p>
    <w:p w:rsidRPr="001D5B63" w:rsidR="001D5B63" w:rsidP="001D5B63" w:rsidRDefault="001D5B63" w14:paraId="1C0AF119" w14:textId="33E0DC0D">
      <w:pPr>
        <w:jc w:val="both"/>
        <w:rPr>
          <w:rFonts w:ascii="Verdana" w:hAnsi="Verdana"/>
          <w:sz w:val="22"/>
          <w:szCs w:val="22"/>
          <w:u w:val="single"/>
        </w:rPr>
      </w:pPr>
      <w:r w:rsidRPr="001D5B63">
        <w:rPr>
          <w:rFonts w:ascii="Verdana" w:hAnsi="Verdana"/>
          <w:sz w:val="22"/>
          <w:szCs w:val="22"/>
          <w:u w:val="single"/>
        </w:rPr>
        <w:t>B. Información pública clasificada:</w:t>
      </w:r>
    </w:p>
    <w:p w:rsidRPr="001D5B63" w:rsidR="001D5B63" w:rsidP="001D5B63" w:rsidRDefault="001D5B63" w14:paraId="6AD0113D" w14:textId="77777777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El artículo 6 de la ley 1712 de 2014 la define como:</w:t>
      </w:r>
    </w:p>
    <w:p w:rsidRPr="001D5B63" w:rsidR="001D5B63" w:rsidP="001D5B63" w:rsidRDefault="001D5B63" w14:paraId="57750066" w14:textId="609FCB1A">
      <w:pPr>
        <w:ind w:left="567"/>
        <w:jc w:val="both"/>
        <w:rPr>
          <w:rFonts w:ascii="Verdana" w:hAnsi="Verdana"/>
          <w:i/>
          <w:iCs/>
          <w:sz w:val="22"/>
          <w:szCs w:val="22"/>
        </w:rPr>
      </w:pPr>
      <w:r w:rsidRPr="001D5B63">
        <w:rPr>
          <w:rFonts w:ascii="Verdana" w:hAnsi="Verdana"/>
          <w:i/>
          <w:iCs/>
          <w:sz w:val="22"/>
          <w:szCs w:val="22"/>
        </w:rPr>
        <w:t>Aquella información que estando en poder o custodia de un sujeto obligado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en su calidad de tal, pertenece al ámbito propio, particular y privado 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semiprivado de una persona natural o jurídica por lo que su acceso podrá ser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negado o exceptuado, siempre que se trate de las circunstancias legítimas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necesarias y los derechos particulares o privados consagrados en el artículo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18 de esta ley;</w:t>
      </w:r>
    </w:p>
    <w:p w:rsidRPr="001D5B63" w:rsidR="001D5B63" w:rsidP="001D5B63" w:rsidRDefault="001D5B63" w14:paraId="3E9D34CD" w14:textId="77777777">
      <w:pPr>
        <w:jc w:val="both"/>
        <w:rPr>
          <w:rFonts w:ascii="Verdana" w:hAnsi="Verdana"/>
          <w:sz w:val="22"/>
          <w:szCs w:val="22"/>
        </w:rPr>
      </w:pPr>
      <w:r w:rsidRPr="001D5B63">
        <w:rPr>
          <w:rFonts w:ascii="Verdana" w:hAnsi="Verdana"/>
          <w:sz w:val="22"/>
          <w:szCs w:val="22"/>
        </w:rPr>
        <w:t>A su vez el artículo 18 de la citada norma indica:</w:t>
      </w:r>
    </w:p>
    <w:p w:rsidRPr="001D5B63" w:rsidR="001D5B63" w:rsidP="001D5B63" w:rsidRDefault="001D5B63" w14:paraId="657FB288" w14:textId="753CD12D">
      <w:pPr>
        <w:jc w:val="both"/>
        <w:rPr>
          <w:rFonts w:ascii="Verdana" w:hAnsi="Verdana"/>
          <w:i/>
          <w:iCs/>
          <w:sz w:val="22"/>
          <w:szCs w:val="22"/>
        </w:rPr>
      </w:pPr>
      <w:r w:rsidRPr="001D5B63">
        <w:rPr>
          <w:rFonts w:ascii="Verdana" w:hAnsi="Verdana"/>
          <w:i/>
          <w:iCs/>
          <w:sz w:val="22"/>
          <w:szCs w:val="22"/>
        </w:rPr>
        <w:t>Toda aquella información pública clasificada, cuyo acceso podrá ser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rechazado o denegado de manera motivada y por escrito, siempre que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acceso pudiere causar un daño a los siguientes derechos:</w:t>
      </w:r>
      <w:r>
        <w:rPr>
          <w:rFonts w:ascii="Verdana" w:hAnsi="Verdana"/>
          <w:i/>
          <w:iCs/>
          <w:sz w:val="22"/>
          <w:szCs w:val="22"/>
        </w:rPr>
        <w:t xml:space="preserve"> </w:t>
      </w:r>
    </w:p>
    <w:p w:rsidRPr="001D5B63" w:rsidR="001D5B63" w:rsidP="001D5B63" w:rsidRDefault="001D5B63" w14:paraId="6E82ECF7" w14:textId="3E08097E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es-ES"/>
        </w:rPr>
      </w:pPr>
      <w:r w:rsidRPr="001D5B63">
        <w:rPr>
          <w:rFonts w:ascii="Verdana" w:hAnsi="Verdana"/>
          <w:b/>
          <w:bCs/>
          <w:i/>
          <w:iCs/>
          <w:sz w:val="22"/>
          <w:szCs w:val="22"/>
        </w:rPr>
        <w:t>El derecho de toda persona a la intimidad</w:t>
      </w:r>
      <w:r w:rsidRPr="001D5B63">
        <w:rPr>
          <w:rFonts w:ascii="Verdana" w:hAnsi="Verdana"/>
          <w:i/>
          <w:iCs/>
          <w:sz w:val="22"/>
          <w:szCs w:val="22"/>
        </w:rPr>
        <w:t>, bajo las limitaciones</w:t>
      </w:r>
      <w:r w:rsidRPr="001D5B63"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>propias que impone la condición de servidor público, en concordancia con lo</w:t>
      </w:r>
      <w:r w:rsidRPr="001D5B63">
        <w:rPr>
          <w:rFonts w:ascii="Verdana" w:hAnsi="Verdana"/>
          <w:i/>
          <w:iCs/>
          <w:sz w:val="22"/>
          <w:szCs w:val="22"/>
        </w:rPr>
        <w:t xml:space="preserve"> </w:t>
      </w:r>
      <w:r w:rsidRPr="001D5B63">
        <w:rPr>
          <w:rFonts w:ascii="Verdana" w:hAnsi="Verdana"/>
          <w:i/>
          <w:iCs/>
          <w:sz w:val="22"/>
          <w:szCs w:val="22"/>
        </w:rPr>
        <w:t xml:space="preserve">estipulado por el artículo 24 de la Ley 1437 de 2011. (...) </w:t>
      </w:r>
      <w:r w:rsidRPr="001D5B63">
        <w:rPr>
          <w:rFonts w:ascii="Verdana" w:hAnsi="Verdana"/>
          <w:sz w:val="22"/>
          <w:szCs w:val="22"/>
        </w:rPr>
        <w:t>(negrilla fuera de</w:t>
      </w:r>
      <w:r w:rsidRPr="001D5B63">
        <w:rPr>
          <w:rFonts w:ascii="Verdana" w:hAnsi="Verdana"/>
          <w:sz w:val="22"/>
          <w:szCs w:val="22"/>
        </w:rPr>
        <w:t xml:space="preserve"> </w:t>
      </w:r>
      <w:r w:rsidRPr="001D5B63">
        <w:rPr>
          <w:rFonts w:ascii="Verdana" w:hAnsi="Verdana"/>
          <w:sz w:val="22"/>
          <w:szCs w:val="22"/>
        </w:rPr>
        <w:t>texto).</w:t>
      </w:r>
    </w:p>
    <w:p w:rsidR="001D5B63" w:rsidP="001D5B63" w:rsidRDefault="001D5B63" w14:paraId="2A7204D7" w14:textId="496229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kern w:val="0"/>
          <w:sz w:val="22"/>
          <w:szCs w:val="22"/>
        </w:rPr>
      </w:pPr>
      <w:r w:rsidRPr="001D5B63">
        <w:rPr>
          <w:rFonts w:ascii="Verdana" w:hAnsi="Verdana" w:cs="DejaVuSans"/>
          <w:kern w:val="0"/>
          <w:sz w:val="22"/>
          <w:szCs w:val="22"/>
        </w:rPr>
        <w:t>Aunado a estos conceptos, es preciso analizar lo dispuesto en la ley estatutaria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1581 de 2012 la cual contiene las disposiciones generales sobre protección de datos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personales y las obligaciones a cargo de las entidades responsables o encargadas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del tratamiento de bases de datos que contengan información de esta naturaleza.</w:t>
      </w:r>
    </w:p>
    <w:p w:rsidRPr="001D5B63" w:rsidR="001D5B63" w:rsidP="001D5B63" w:rsidRDefault="001D5B63" w14:paraId="4996F08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kern w:val="0"/>
          <w:sz w:val="22"/>
          <w:szCs w:val="22"/>
        </w:rPr>
      </w:pPr>
    </w:p>
    <w:p w:rsidR="001D5B63" w:rsidP="001D5B63" w:rsidRDefault="001D5B63" w14:paraId="240E8EF0" w14:textId="2AE2C88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kern w:val="0"/>
          <w:sz w:val="22"/>
          <w:szCs w:val="22"/>
        </w:rPr>
      </w:pPr>
      <w:r w:rsidRPr="001D5B63">
        <w:rPr>
          <w:rFonts w:ascii="Verdana" w:hAnsi="Verdana" w:cs="DejaVuSans"/>
          <w:kern w:val="0"/>
          <w:sz w:val="22"/>
          <w:szCs w:val="22"/>
        </w:rPr>
        <w:t>Así en su artículo 4 establece los principios de acceso y circulación restringida,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principio de seguridad y, de confidencialidad en los siguientes términos:</w:t>
      </w:r>
    </w:p>
    <w:p w:rsidRPr="001D5B63" w:rsidR="001D5B63" w:rsidP="001D5B63" w:rsidRDefault="001D5B63" w14:paraId="56546C7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kern w:val="0"/>
          <w:sz w:val="22"/>
          <w:szCs w:val="22"/>
        </w:rPr>
      </w:pPr>
    </w:p>
    <w:p w:rsidRPr="001D5B63" w:rsidR="001D5B63" w:rsidP="001D5B63" w:rsidRDefault="001D5B63" w14:paraId="53163B6D" w14:textId="25C65CA0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Oblique"/>
          <w:i/>
          <w:iCs/>
          <w:kern w:val="0"/>
          <w:sz w:val="22"/>
          <w:szCs w:val="22"/>
        </w:rPr>
      </w:pP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Principio de acceso y circulación restringida: El Tratamiento se sujeta a los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límites que se derivan de la naturaleza de los datos personales, de las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disposiciones de la presente ley y la Constitución. En este sentido, el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Tratamiento sólo podrá hacerse por personas autorizadas por el Titular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y/o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por las personas previstas en la presente ley; (...)</w:t>
      </w:r>
    </w:p>
    <w:p w:rsidRPr="001D5B63" w:rsidR="001D5B63" w:rsidP="001D5B63" w:rsidRDefault="001D5B63" w14:paraId="7E739428" w14:textId="00AB756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Oblique"/>
          <w:i/>
          <w:iCs/>
          <w:kern w:val="0"/>
          <w:sz w:val="22"/>
          <w:szCs w:val="22"/>
        </w:rPr>
      </w:pP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Principio de seguridad: La información sujeta a Tratamiento por el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Responsable del Tratamiento o Encargado del Tratamiento a que se refiere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lastRenderedPageBreak/>
        <w:t>la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presente ley, se deberá manejar con las medidas técnicas, humanas y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administrativas que sean necesarias para otorgar seguridad a los registros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evitando su adulteración, pérdida, consulta, uso o acceso no autorizado o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fraudulento;</w:t>
      </w:r>
    </w:p>
    <w:p w:rsidRPr="001D5B63" w:rsidR="001D5B63" w:rsidP="001D5B63" w:rsidRDefault="001D5B63" w14:paraId="09F687E5" w14:textId="0B9AF1B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-Oblique"/>
          <w:i/>
          <w:iCs/>
          <w:kern w:val="0"/>
          <w:sz w:val="22"/>
          <w:szCs w:val="22"/>
        </w:rPr>
      </w:pP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Principio de confidencialidad. Todas las personas que intervengan en el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Tratamiento de datos personales que no tengan la naturaleza de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p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úblicos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están obligadas a garantizar la reserva de la información, inclusive después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de finalizada su relación con alguna de las labores que comprende el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Tratamiento, pudiendo sólo realizar suministro o comunicación de datos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personales cuando ello corresponda al desarrollo de las actividades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-Oblique"/>
          <w:i/>
          <w:iCs/>
          <w:kern w:val="0"/>
          <w:sz w:val="22"/>
          <w:szCs w:val="22"/>
        </w:rPr>
        <w:t>autorizadas en la presente ley y en los términos de la misma.</w:t>
      </w:r>
    </w:p>
    <w:p w:rsidR="001D5B63" w:rsidP="001D5B63" w:rsidRDefault="001D5B63" w14:paraId="7715681C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DejaVuSans"/>
          <w:kern w:val="0"/>
          <w:sz w:val="22"/>
          <w:szCs w:val="22"/>
        </w:rPr>
      </w:pPr>
    </w:p>
    <w:p w:rsidR="001D5B63" w:rsidP="001D5B63" w:rsidRDefault="001D5B63" w14:paraId="5FD45E75" w14:textId="7301FC83">
      <w:pPr>
        <w:autoSpaceDE w:val="0"/>
        <w:autoSpaceDN w:val="0"/>
        <w:adjustRightInd w:val="0"/>
        <w:spacing w:after="0" w:line="240" w:lineRule="auto"/>
        <w:rPr>
          <w:rFonts w:ascii="Verdana" w:hAnsi="Verdana" w:cs="DejaVuSans"/>
          <w:kern w:val="0"/>
          <w:sz w:val="22"/>
          <w:szCs w:val="22"/>
        </w:rPr>
      </w:pPr>
      <w:r w:rsidRPr="001D5B63">
        <w:rPr>
          <w:rFonts w:ascii="Verdana" w:hAnsi="Verdana" w:cs="DejaVuSans"/>
          <w:kern w:val="0"/>
          <w:sz w:val="22"/>
          <w:szCs w:val="22"/>
        </w:rPr>
        <w:t>Dichos principios establecen que todas las personas naturales o jurídicas que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intervengan en la recolección, almacenamiento, tratamiento o administración de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datos personales que no tengan carácter público, están obligadas en todo momento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a garantizar la reserva y confidencialidad de la información, incluso una vez haya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finalizado su vínculo o participación en las actividades relacionadas con su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administración.</w:t>
      </w:r>
    </w:p>
    <w:p w:rsidRPr="001D5B63" w:rsidR="001D5B63" w:rsidP="001D5B63" w:rsidRDefault="001D5B63" w14:paraId="1458C426" w14:textId="77777777">
      <w:pPr>
        <w:autoSpaceDE w:val="0"/>
        <w:autoSpaceDN w:val="0"/>
        <w:adjustRightInd w:val="0"/>
        <w:spacing w:after="0" w:line="240" w:lineRule="auto"/>
        <w:rPr>
          <w:rFonts w:ascii="Verdana" w:hAnsi="Verdana" w:cs="DejaVuSans"/>
          <w:kern w:val="0"/>
          <w:sz w:val="22"/>
          <w:szCs w:val="22"/>
        </w:rPr>
      </w:pPr>
    </w:p>
    <w:p w:rsidRPr="00922BAC" w:rsidR="00922BAC" w:rsidP="00922BAC" w:rsidRDefault="001D5B63" w14:paraId="3F5A7C9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kern w:val="0"/>
          <w:sz w:val="22"/>
          <w:szCs w:val="22"/>
        </w:rPr>
      </w:pPr>
      <w:r w:rsidRPr="001D5B63">
        <w:rPr>
          <w:rFonts w:ascii="Verdana" w:hAnsi="Verdana" w:cs="DejaVuSans"/>
          <w:kern w:val="0"/>
          <w:sz w:val="22"/>
          <w:szCs w:val="22"/>
        </w:rPr>
        <w:t>Asimismo, la información sometida a tratamiento debe gestionarse bajo la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implementación de medidas técnicas, humanas y administrativas adecuadas,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destinadas a asegurar la protección y seguridad de los registros, evitando su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1D5B63">
        <w:rPr>
          <w:rFonts w:ascii="Verdana" w:hAnsi="Verdana" w:cs="DejaVuSans"/>
          <w:kern w:val="0"/>
          <w:sz w:val="22"/>
          <w:szCs w:val="22"/>
        </w:rPr>
        <w:t>adulteración, pérdida, consulta, uso o acceso no autorizado o fraudulento, en</w:t>
      </w:r>
      <w:r>
        <w:rPr>
          <w:rFonts w:ascii="Verdana" w:hAnsi="Verdana" w:cs="DejaVuSans"/>
          <w:kern w:val="0"/>
          <w:sz w:val="22"/>
          <w:szCs w:val="22"/>
        </w:rPr>
        <w:t xml:space="preserve"> </w:t>
      </w:r>
      <w:r w:rsidRPr="00922BAC" w:rsidR="00922BAC">
        <w:rPr>
          <w:rFonts w:ascii="Verdana" w:hAnsi="Verdana" w:cs="DejaVuSans"/>
          <w:kern w:val="0"/>
          <w:sz w:val="22"/>
          <w:szCs w:val="22"/>
        </w:rPr>
        <w:t>cumplimiento del principio de seguridad previsto en la normativa vigente sobre</w:t>
      </w:r>
    </w:p>
    <w:p w:rsidR="001D5B63" w:rsidP="00922BAC" w:rsidRDefault="00922BAC" w14:paraId="031CB2D6" w14:textId="0D6AA3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kern w:val="0"/>
          <w:sz w:val="22"/>
          <w:szCs w:val="22"/>
        </w:rPr>
      </w:pPr>
      <w:r w:rsidRPr="00922BAC">
        <w:rPr>
          <w:rFonts w:ascii="Verdana" w:hAnsi="Verdana" w:cs="DejaVuSans"/>
          <w:kern w:val="0"/>
          <w:sz w:val="22"/>
          <w:szCs w:val="22"/>
        </w:rPr>
        <w:t>protección de datos personales.</w:t>
      </w:r>
    </w:p>
    <w:p w:rsidR="00922BAC" w:rsidP="00922BAC" w:rsidRDefault="00922BAC" w14:paraId="3FF4FDF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DejaVuSans"/>
          <w:kern w:val="0"/>
          <w:sz w:val="22"/>
          <w:szCs w:val="22"/>
        </w:rPr>
      </w:pPr>
    </w:p>
    <w:p w:rsidR="00922BAC" w:rsidP="00922BAC" w:rsidRDefault="00922BAC" w14:paraId="649D9747" w14:textId="4AE9C2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la intimidad del Titular o cuyo uso indebido puede generar su discriminación, tales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como aquellos que revelen el origen racial o étnico, la orientación política, las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convicciones religiosas o filosóficas, la pertenencia a sindicatos, organizaciones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sociales, de derechos humanos o que promueva intereses de cualquier partido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político o que garanticen los derechos y garantías de partidos políticos de oposición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así como los datos relativos a la salud, a la vida sexual y los datos biométricos”</w:t>
      </w:r>
    </w:p>
    <w:p w:rsidRPr="00922BAC" w:rsidR="00922BAC" w:rsidP="00922BAC" w:rsidRDefault="00922BAC" w14:paraId="0108F05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6FF5D7F1" w14:textId="662D7A0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Seguidamente, el artículo 6 prohíbe el tratamiento de datos sensibles salvo las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excepciones relacionadas con la autorización del titular, la salvaguarda de su interés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vital o que este sea necesario para el reconocimiento, ejercicio o defensa de un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derecho en un proceso judicial.</w:t>
      </w:r>
    </w:p>
    <w:p w:rsidRPr="00922BAC" w:rsidR="00922BAC" w:rsidP="00922BAC" w:rsidRDefault="00922BAC" w14:paraId="34C46AD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7A9ADE0C" w14:textId="4406BD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Ahora bien, puntualmente, respecto de los datos de los niños, niñas y adolescentes,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 xml:space="preserve">el artículo 7 establece la prohibición del tratamiento de sus </w:t>
      </w:r>
      <w:r w:rsidRPr="00922BAC">
        <w:rPr>
          <w:rFonts w:ascii="Verdana" w:hAnsi="Verdana"/>
          <w:b/>
          <w:bCs/>
          <w:sz w:val="22"/>
          <w:szCs w:val="22"/>
        </w:rPr>
        <w:t>datos personales</w:t>
      </w:r>
      <w:r w:rsidRPr="00922BAC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salvo aquellos que tengan naturaleza pública.</w:t>
      </w:r>
    </w:p>
    <w:p w:rsidRPr="00922BAC" w:rsidR="00922BAC" w:rsidP="00922BAC" w:rsidRDefault="00922BAC" w14:paraId="0B7DAA8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922BAC" w:rsidR="00922BAC" w:rsidP="00922BAC" w:rsidRDefault="00922BAC" w14:paraId="06D3948E" w14:textId="73E305B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En ese contexto, es necesario precisar que, de acuerdo con la clasificación realizada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por la Corte Constitucional en la sentencia T – 238 de 2018, el dato personal puede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ser (i) público o de dominio público (ii) semiprivado, (iii) privado y (iv) reservado o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secreto:</w:t>
      </w:r>
    </w:p>
    <w:p w:rsidR="00922BAC" w:rsidP="00922BAC" w:rsidRDefault="00922BAC" w14:paraId="5AB6EB8F" w14:textId="355529B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lastRenderedPageBreak/>
        <w:t xml:space="preserve">La </w:t>
      </w:r>
      <w:r w:rsidRPr="00922BAC">
        <w:rPr>
          <w:rFonts w:ascii="Verdana" w:hAnsi="Verdana"/>
          <w:b/>
          <w:bCs/>
          <w:i/>
          <w:iCs/>
          <w:sz w:val="22"/>
          <w:szCs w:val="22"/>
        </w:rPr>
        <w:t xml:space="preserve">información pública </w:t>
      </w:r>
      <w:r w:rsidRPr="00922BAC">
        <w:rPr>
          <w:rFonts w:ascii="Verdana" w:hAnsi="Verdana"/>
          <w:i/>
          <w:iCs/>
          <w:sz w:val="22"/>
          <w:szCs w:val="22"/>
        </w:rPr>
        <w:t>es aquella que, según los mandatos de la ley o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la Constitución, puede ser obtenida y ofrecida sin reserva alguna y sin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importar si se trata de información general, privada o personal. Se trata por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ejemplo de los documentos públicos, las providencias judiciales debidamente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ejecutoriadas, los datos sobre el estado civil de las personas o sobre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conformación de la familia. Este tipo de información se puede solicitar por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cualquier persona de manera directa y no existe el deber de satisfacer algún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requisito para obtenerla.</w:t>
      </w:r>
    </w:p>
    <w:p w:rsidRPr="00922BAC" w:rsidR="00922BAC" w:rsidP="00922BAC" w:rsidRDefault="00922BAC" w14:paraId="5302AA1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4DEF532A" w14:textId="29D1950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b/>
          <w:bCs/>
          <w:i/>
          <w:iCs/>
          <w:sz w:val="22"/>
          <w:szCs w:val="22"/>
        </w:rPr>
        <w:t xml:space="preserve">Dato semiprivado. </w:t>
      </w:r>
      <w:r w:rsidRPr="00922BAC">
        <w:rPr>
          <w:rFonts w:ascii="Verdana" w:hAnsi="Verdana"/>
          <w:i/>
          <w:iCs/>
          <w:sz w:val="22"/>
          <w:szCs w:val="22"/>
        </w:rPr>
        <w:t>Este no tiene naturaleza íntima, reservada, ni pública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y cuyo conocimiento o divulgación puede interesar no sólo a su titular sino 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cierto sector o grupo de personas o a la sociedad en general, como el dato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financiero y crediticio de actividad comercial o de servicios a que se refiere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 xml:space="preserve">Título IV de la presente ley”. </w:t>
      </w:r>
      <w:r w:rsidRPr="00922BAC">
        <w:rPr>
          <w:rFonts w:ascii="Verdana" w:hAnsi="Verdana"/>
          <w:sz w:val="22"/>
          <w:szCs w:val="22"/>
        </w:rPr>
        <w:t>(subrayado fuera de texto).</w:t>
      </w:r>
    </w:p>
    <w:p w:rsidRPr="00922BAC" w:rsidR="00922BAC" w:rsidP="00922BAC" w:rsidRDefault="00922BAC" w14:paraId="5B3197D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7528B50A" w14:textId="7B90620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 xml:space="preserve">La </w:t>
      </w:r>
      <w:r w:rsidRPr="00922BAC">
        <w:rPr>
          <w:rFonts w:ascii="Verdana" w:hAnsi="Verdana"/>
          <w:b/>
          <w:bCs/>
          <w:i/>
          <w:iCs/>
          <w:sz w:val="22"/>
          <w:szCs w:val="22"/>
        </w:rPr>
        <w:t xml:space="preserve">información privada </w:t>
      </w:r>
      <w:r w:rsidRPr="00922BAC">
        <w:rPr>
          <w:rFonts w:ascii="Verdana" w:hAnsi="Verdana"/>
          <w:i/>
          <w:iCs/>
          <w:sz w:val="22"/>
          <w:szCs w:val="22"/>
        </w:rPr>
        <w:t>es aquella que por versar sobre información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personal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y por encontrarse en un ámbito privado, sólo puede ser obtenida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ofrecida por orden de autoridad judicial en el cumplimiento de sus funciones.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Es el caso de los libros de los comerciantes, los documentos privados, las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historias clínicas y la información extraída a partir de la inspección del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domicilio.</w:t>
      </w:r>
    </w:p>
    <w:p w:rsidRPr="00922BAC" w:rsidR="00922BAC" w:rsidP="00922BAC" w:rsidRDefault="00922BAC" w14:paraId="6ADB0EC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69C253E8" w14:textId="49DA23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 xml:space="preserve">La </w:t>
      </w:r>
      <w:r w:rsidRPr="00922BAC">
        <w:rPr>
          <w:rFonts w:ascii="Verdana" w:hAnsi="Verdana"/>
          <w:b/>
          <w:bCs/>
          <w:i/>
          <w:iCs/>
          <w:sz w:val="22"/>
          <w:szCs w:val="22"/>
        </w:rPr>
        <w:t xml:space="preserve">información reservada </w:t>
      </w:r>
      <w:r w:rsidRPr="00922BAC">
        <w:rPr>
          <w:rFonts w:ascii="Verdana" w:hAnsi="Verdana"/>
          <w:i/>
          <w:iCs/>
          <w:sz w:val="22"/>
          <w:szCs w:val="22"/>
        </w:rPr>
        <w:t>versa sobre información personal y guarda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estrecha relación con los derechos fundamentales del titular a la dignidad, 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la intimidad y a la libertad, motivo por el cual se encuentra reservada a su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órbita exclusiva y “(…) no puede siquiera ser obtenida ni ofrecida por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autoridad judicial en el cumplimiento de sus funciones. Cabría mencionar aquí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la información genética, y los llamados "datos sensibles" o relacionados con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la ideología, la inclinación sexual, los hábitos de la persona, etc.</w:t>
      </w:r>
    </w:p>
    <w:p w:rsidR="00922BAC" w:rsidP="00922BAC" w:rsidRDefault="00922BAC" w14:paraId="01264C0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427019B0" w14:textId="640A84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Por su parte, el Decreto 1074 de 2015 en el artículo 2.2.2.25.2.9. relacionado con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los requisitos especiales para el tratamiento de datos personales de niños, niñas y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adolescentes, señala que:</w:t>
      </w:r>
    </w:p>
    <w:p w:rsidRPr="00922BAC" w:rsidR="00922BAC" w:rsidP="00922BAC" w:rsidRDefault="00922BAC" w14:paraId="423F43D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1E15CDCA" w14:textId="3137C5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>El Tratamiento de datos personales de niños, niñas y adolescentes está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 xml:space="preserve">prohibido, </w:t>
      </w:r>
      <w:r w:rsidRPr="00922BAC">
        <w:rPr>
          <w:rFonts w:ascii="Verdana" w:hAnsi="Verdana"/>
          <w:b/>
          <w:bCs/>
          <w:i/>
          <w:iCs/>
          <w:sz w:val="22"/>
          <w:szCs w:val="22"/>
        </w:rPr>
        <w:t>excepto cuando se trate de datos de naturaleza pública</w:t>
      </w:r>
      <w:r w:rsidRPr="00922BAC">
        <w:rPr>
          <w:rFonts w:ascii="Verdana" w:hAnsi="Verdana"/>
          <w:i/>
          <w:iCs/>
          <w:sz w:val="22"/>
          <w:szCs w:val="22"/>
        </w:rPr>
        <w:t>,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conformidad con lo establecido en el artículo 7o de la Ley 1581 de 2012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cuando dicho Tratamiento cumpla con los siguientes parámetros y requisitos: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1. Que responda y respete el interés superior de los niños, niñas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adolescentes. 2. Que se asegure el respeto de sus derechos fundamentales.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hint="eastAsia" w:ascii="Malgun Gothic" w:hAnsi="Malgun Gothic" w:eastAsia="Malgun Gothic" w:cs="Malgun Gothic"/>
          <w:sz w:val="22"/>
          <w:szCs w:val="22"/>
        </w:rPr>
        <w:t>이</w:t>
      </w:r>
      <w:r w:rsidRPr="00922BAC"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Cumplidos los anteriores requisitos, el representante legal del niño, niña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adolescente otorgará la autorización previo ejercicio del menor de su derecho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a ser escuchado, opinión que será valorada teniendo en cuenta la madurez,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autonomía y capacidad para entender el asunto. (...)" (Se resalta)</w:t>
      </w:r>
    </w:p>
    <w:p w:rsidRPr="00922BAC" w:rsidR="00922BAC" w:rsidP="00922BAC" w:rsidRDefault="00922BAC" w14:paraId="4252E40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Pr="00922BAC" w:rsidR="00922BAC" w:rsidP="00922BAC" w:rsidRDefault="00922BAC" w14:paraId="4584881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Adicionalmente, el artículo 2 de la Resolución No. 4286 de 20202 del ICBF señala</w:t>
      </w:r>
    </w:p>
    <w:p w:rsidR="00922BAC" w:rsidP="00922BAC" w:rsidRDefault="00922BAC" w14:paraId="3AC28CE4" w14:textId="2C461CD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que no será necesaria la autorización para el tratamiento del titular de los datos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personales en los siguientes casos: Información requerida por una entidad pública o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administrativa en ejercicio de sus funciones legales o por orden judicial; datos 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 xml:space="preserve">naturaleza pública; casos de urgencia médica o sanitaria; tratamiento </w:t>
      </w:r>
      <w:r w:rsidRPr="00922BAC">
        <w:rPr>
          <w:rFonts w:ascii="Verdana" w:hAnsi="Verdana"/>
          <w:sz w:val="22"/>
          <w:szCs w:val="22"/>
        </w:rPr>
        <w:lastRenderedPageBreak/>
        <w:t>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información autorizado por la ley para fines históricos, estadísticos o científico.</w:t>
      </w:r>
    </w:p>
    <w:p w:rsidRPr="00922BAC" w:rsidR="00922BAC" w:rsidP="00922BAC" w:rsidRDefault="00922BAC" w14:paraId="00FCC2D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922BAC" w:rsidR="00922BAC" w:rsidP="00922BAC" w:rsidRDefault="00922BAC" w14:paraId="7317A4D9" w14:textId="31288A2F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922BAC">
        <w:rPr>
          <w:rFonts w:ascii="Verdana" w:hAnsi="Verdana"/>
          <w:b/>
          <w:bCs/>
          <w:sz w:val="22"/>
          <w:szCs w:val="22"/>
        </w:rPr>
        <w:t>De la clasificación de la información de las actuaciones realizadas por</w:t>
      </w:r>
      <w:r w:rsidRPr="00922BAC">
        <w:rPr>
          <w:rFonts w:ascii="Verdana" w:hAnsi="Verdana"/>
          <w:b/>
          <w:bCs/>
          <w:sz w:val="22"/>
          <w:szCs w:val="22"/>
        </w:rPr>
        <w:t xml:space="preserve"> </w:t>
      </w:r>
      <w:r w:rsidRPr="00922BAC">
        <w:rPr>
          <w:rFonts w:ascii="Verdana" w:hAnsi="Verdana"/>
          <w:b/>
          <w:bCs/>
          <w:sz w:val="22"/>
          <w:szCs w:val="22"/>
        </w:rPr>
        <w:t>las autoridades administrativas.</w:t>
      </w:r>
    </w:p>
    <w:p w:rsidRPr="00922BAC" w:rsidR="00922BAC" w:rsidP="00922BAC" w:rsidRDefault="00922BAC" w14:paraId="720A482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922BAC" w:rsidP="00922BAC" w:rsidRDefault="00922BAC" w14:paraId="08EEDE6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922BAC" w:rsidP="00922BAC" w:rsidRDefault="00922BAC" w14:paraId="09AD7C7B" w14:textId="35F048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La ley 1098 de 2006 ha señalado de manera expresa cuales son los documentos y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actuaciones realizadas por autoridades administrativas que están sujetas a reserva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con el objeto de garantizar sus derechos constitucionales fundamentales a la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intimidad y dignidad, a saber:</w:t>
      </w:r>
    </w:p>
    <w:p w:rsidRPr="00922BAC" w:rsidR="00922BAC" w:rsidP="00922BAC" w:rsidRDefault="00922BAC" w14:paraId="28E530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0373CEE3" w14:textId="3164FEA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>- Artículo 75. Reserva. Todos los documentos y actuaciones administrativas 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judiciales propios del proceso de adopción, serán reservados por el término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de veinte (20) años a partir de la ejecutoria de la sentencia judicial.</w:t>
      </w:r>
    </w:p>
    <w:p w:rsidRPr="00922BAC" w:rsidR="00922BAC" w:rsidP="00922BAC" w:rsidRDefault="00922BAC" w14:paraId="660FE3D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0B61C11B" w14:textId="1EFFE84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>- Artículo 81 numeral 5. Guardar reserva sobre las decisiones que deban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dictarse en los procesos, so pena de incurrir en mala conducta. El mismo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deber rige para los servidores públicos de la Defensoría de Familia.</w:t>
      </w:r>
    </w:p>
    <w:p w:rsidRPr="00922BAC" w:rsidR="00922BAC" w:rsidP="00922BAC" w:rsidRDefault="00922BAC" w14:paraId="414A49F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29184EA2" w14:textId="0085B80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>-Artículo 153. Reserva de las diligencias. Las actuaciones procesales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adelantadas en el sistema de responsabilidad penal para adolescentes, sólo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podrán ser conocidas por las partes, sus apoderados, y los organismos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control.</w:t>
      </w:r>
    </w:p>
    <w:p w:rsidRPr="00922BAC" w:rsidR="00922BAC" w:rsidP="00922BAC" w:rsidRDefault="00922BAC" w14:paraId="13AFDD2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5DA2A8ED" w14:textId="75C85C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>La identidad del procesado, salvo para las personas mencionadas en el inciso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anterior, gozará de reserva.</w:t>
      </w:r>
    </w:p>
    <w:p w:rsidRPr="00922BAC" w:rsidR="00922BAC" w:rsidP="00922BAC" w:rsidRDefault="00922BAC" w14:paraId="43ED202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1E1A652B" w14:textId="4844F1F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>Queda prohibido revelar la identidad o imagen que permita la identificación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de las personas procesadas.</w:t>
      </w:r>
    </w:p>
    <w:p w:rsidRPr="00922BAC" w:rsidR="00922BAC" w:rsidP="00922BAC" w:rsidRDefault="00922BAC" w14:paraId="7A3B74A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5CC26D88" w14:textId="74C5D9B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  <w:r w:rsidRPr="00922BAC">
        <w:rPr>
          <w:rFonts w:ascii="Verdana" w:hAnsi="Verdana"/>
          <w:i/>
          <w:iCs/>
          <w:sz w:val="22"/>
          <w:szCs w:val="22"/>
        </w:rPr>
        <w:t>- Artículo 159. Artículo 159. Prohibición de antecedentes. Las sentencias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proferidas en procesos por responsabilidad penal para adolescentes no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tendrán el carácter de antecedente judicial. Estos registros son reservados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podrán ser utilizados por las autoridades judiciales competentes para definir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las medidas aplicables cuando se trate de establecer la naturaleza y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922BAC">
        <w:rPr>
          <w:rFonts w:ascii="Verdana" w:hAnsi="Verdana"/>
          <w:i/>
          <w:iCs/>
          <w:sz w:val="22"/>
          <w:szCs w:val="22"/>
        </w:rPr>
        <w:t>gravedad de las conductas y la proporcionalidad e idoneidad de la medida.</w:t>
      </w:r>
    </w:p>
    <w:p w:rsidRPr="00922BAC" w:rsidR="00922BAC" w:rsidP="00922BAC" w:rsidRDefault="00922BAC" w14:paraId="0530020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iCs/>
          <w:sz w:val="22"/>
          <w:szCs w:val="22"/>
        </w:rPr>
      </w:pPr>
    </w:p>
    <w:p w:rsidR="00922BAC" w:rsidP="00922BAC" w:rsidRDefault="00922BAC" w14:paraId="7D32F1C7" w14:textId="65E6388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De conformidad con lo expuesto, se identifica la existencia de diversas actuaciones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y documentos sometidos a reserva en virtud de lo dispuesto en el Código de la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Infancia y la Adolescencia, específicamente: (i) en el marco del Proceso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Administrativo de Restablecimiento de Derechos, conforme a lo previsto en los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artículos 75 y 81; y (ii) en el contexto del Sistema de Responsabilidad Penal para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Adolescentes, de acuerdo con lo establecido en los artículos 153 y 159 de la misma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norma.</w:t>
      </w:r>
    </w:p>
    <w:p w:rsidRPr="00922BAC" w:rsidR="00922BAC" w:rsidP="00922BAC" w:rsidRDefault="00922BAC" w14:paraId="18B942A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0827D3A8" w14:textId="7388E3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En relación con el primer supuesto, la reserva comprende las actuaciones y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documentos producidos durante el desarrollo del proceso de restablecimiento 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derechos, frente a los cuales existe una regulación especial en materia 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lastRenderedPageBreak/>
        <w:t>antecedentes de adopción. No obstante, la reserva que limita la actuación del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Defensor de Familia no se circunscribe únicamente a dichos antecedentes, puesto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que el artículo 81 dispone que la reserva se extiende a todas las decisiones que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deban dictarse dentro de los procesos de su conocimiento, lo que implica que esta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se proyecta sobre el proceso en su integridad, con independencia de que se decrete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o no la adoptabilidad del niño, niña o adolescente.</w:t>
      </w:r>
      <w:r>
        <w:rPr>
          <w:rFonts w:ascii="Verdana" w:hAnsi="Verdana"/>
          <w:sz w:val="22"/>
          <w:szCs w:val="22"/>
        </w:rPr>
        <w:t xml:space="preserve"> </w:t>
      </w:r>
    </w:p>
    <w:p w:rsidRPr="00922BAC" w:rsidR="00922BAC" w:rsidP="00922BAC" w:rsidRDefault="00922BAC" w14:paraId="5F6859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3247260C" w14:textId="6408FDD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En este sentido, el artículo 75 amplía el alcance de la reserva, al disponer que esta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cobija no solo los documentos y actuaciones administrativas, sino también las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judiciales, por un término de veinte (20) años, estableciendo además restricciones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específicas respecto de las condiciones y sujetos legitimados para solicitar el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levantamiento de la reserva.</w:t>
      </w:r>
    </w:p>
    <w:p w:rsidRPr="00922BAC" w:rsidR="00922BAC" w:rsidP="00922BAC" w:rsidRDefault="00922BAC" w14:paraId="4320C41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922BAC" w:rsidRDefault="00922BAC" w14:paraId="399984DD" w14:textId="1DD109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Aclarado esto, es necesario señalar que, aun cuando haya vencido el término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establecido, ello no faculta a cualquier persona para acceder de manera libre y sin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restricciones a la información contenida en los expedientes. En efecto, el transcurso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del plazo establecido no implica la pérdida de la condición de reservada de dicha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información ni su transformación en pública. Por el contrario, mantiene un carácter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especial que impone a la autoridad encargada de su administración la obligación 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garantizar su confidencialidad y proteger los derechos fundamentales vinculados a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la intimidad y la protección de datos personales.</w:t>
      </w:r>
    </w:p>
    <w:p w:rsidRPr="00922BAC" w:rsidR="00922BAC" w:rsidP="00922BAC" w:rsidRDefault="00922BAC" w14:paraId="1C46FA5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922BAC" w:rsidR="00922BAC" w:rsidP="00922BAC" w:rsidRDefault="00922BAC" w14:paraId="518ADD36" w14:textId="602C11B7">
      <w:pPr>
        <w:pStyle w:val="Prrafodelist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922BAC">
        <w:rPr>
          <w:rFonts w:ascii="Verdana" w:hAnsi="Verdana"/>
          <w:b/>
          <w:bCs/>
          <w:sz w:val="22"/>
          <w:szCs w:val="22"/>
        </w:rPr>
        <w:t>De la anonimización de datos.</w:t>
      </w:r>
    </w:p>
    <w:p w:rsidRPr="00922BAC" w:rsidR="00922BAC" w:rsidP="00922BAC" w:rsidRDefault="00922BAC" w14:paraId="5F9131B0" w14:textId="77777777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922BAC" w:rsidP="00922BAC" w:rsidRDefault="00922BAC" w14:paraId="4116B058" w14:textId="043B83E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Para hacer efectivo el principio de máxima publicidad que hace parte del derecho 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acceso a la información pública de que trata la ley 1712 de 2014, posterior a ello se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profirió el Conpes 3920 de 20183 sobre Política Nacional de Explotación de Datos en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el cual para cumplir este propósito se consideró necesario “establecer estándares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de anonimización (…) esto, de acuerdo con las alternativas técnicas disponibles que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deben aplicarse a los conjuntos de datos para eliminar los identificadores personales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directos e indirectos, de forma tal que sea posible la publicación de mayores</w:t>
      </w:r>
      <w:r w:rsidR="005D6D34"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conjuntos de datos abiertos y se facilite a compartición entre entidades,</w:t>
      </w:r>
      <w:r w:rsidR="005D6D34"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garantizando los derechos de los titulares”.</w:t>
      </w:r>
    </w:p>
    <w:p w:rsidRPr="00922BAC" w:rsidR="005D6D34" w:rsidP="00922BAC" w:rsidRDefault="005D6D34" w14:paraId="5ADDD0D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922BAC" w14:paraId="3D01E562" w14:textId="462F800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En ese orden, el Archivo General de la Nación presentó la guía de anonimización de</w:t>
      </w:r>
      <w:r w:rsidR="005D6D34"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datos estructurados –conceptos generales y propuesta metodológica4, con la cual se</w:t>
      </w:r>
      <w:r w:rsidR="005D6D34"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precisaron los conceptos y se proporcionó una orientación metodológica para</w:t>
      </w:r>
      <w:r w:rsidR="005D6D34">
        <w:rPr>
          <w:rFonts w:ascii="Verdana" w:hAnsi="Verdana"/>
          <w:sz w:val="22"/>
          <w:szCs w:val="22"/>
        </w:rPr>
        <w:t xml:space="preserve"> </w:t>
      </w:r>
      <w:r w:rsidRPr="005D6D34" w:rsidR="005D6D34">
        <w:rPr>
          <w:rFonts w:ascii="Verdana" w:hAnsi="Verdana"/>
          <w:sz w:val="22"/>
          <w:szCs w:val="22"/>
        </w:rPr>
        <w:t>realizar procesos de anonimización de datos personales e información, producidos o</w:t>
      </w:r>
      <w:r w:rsidR="005D6D34">
        <w:rPr>
          <w:rFonts w:ascii="Verdana" w:hAnsi="Verdana"/>
          <w:sz w:val="22"/>
          <w:szCs w:val="22"/>
        </w:rPr>
        <w:t xml:space="preserve"> </w:t>
      </w:r>
      <w:r w:rsidRPr="005D6D34" w:rsidR="005D6D34">
        <w:rPr>
          <w:rFonts w:ascii="Verdana" w:hAnsi="Verdana"/>
          <w:sz w:val="22"/>
          <w:szCs w:val="22"/>
        </w:rPr>
        <w:t>gestionados por entidades públicas y privadas con funciones públicas.</w:t>
      </w:r>
    </w:p>
    <w:p w:rsidRPr="005D6D34" w:rsidR="005D6D34" w:rsidP="005D6D34" w:rsidRDefault="005D6D34" w14:paraId="48C504F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5C29CB6B" w14:textId="453978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Esta guía está dirigida las entidades que como el ICBF realicen el tratamiento de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datos personales, es decir que, gestionen, almacenen, administren, obtengan,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 xml:space="preserve">produzcan, procesen, custodie y publiquen información independientemente de </w:t>
      </w:r>
      <w:r w:rsidRPr="005D6D34">
        <w:rPr>
          <w:rFonts w:ascii="Verdana" w:hAnsi="Verdana"/>
          <w:sz w:val="22"/>
          <w:szCs w:val="22"/>
        </w:rPr>
        <w:lastRenderedPageBreak/>
        <w:t>su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soporte o medio y que deban dar cumplimiento a la normatividad de datos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personales.</w:t>
      </w:r>
    </w:p>
    <w:p w:rsidRPr="005D6D34" w:rsidR="005D6D34" w:rsidP="005D6D34" w:rsidRDefault="005D6D34" w14:paraId="52C789D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055C3587" w14:textId="6F73F9C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En este documento, el proceso de anonimización se establece como aquél según el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cual “se condiciona un conjunto de datos de modo que no se pueda identificar a una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persona, pero pueda ser utilizada para realizar el análisis técnico y científico válido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sobre ese conjunto de datos”. Así mismo, se considera que una vez los datos son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anonimizados, estos se pueden usar, reutilizar y divulgar sin violar el derecho a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protección de datos de los titulares de la información.</w:t>
      </w:r>
    </w:p>
    <w:p w:rsidRPr="005D6D34" w:rsidR="005D6D34" w:rsidP="005D6D34" w:rsidRDefault="005D6D34" w14:paraId="55C4E48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4852407D" w14:textId="23F2D7E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Así las cosas, entidades como, por ejemplo, la Corte Constitucional en sus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pronunciamientos donde se ven involucrados menores de edad, generalmente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señala que:</w:t>
      </w:r>
    </w:p>
    <w:p w:rsidRPr="005D6D34" w:rsidR="005D6D34" w:rsidP="005D6D34" w:rsidRDefault="005D6D34" w14:paraId="77B9319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04770F6E" w14:textId="73F145D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i/>
          <w:iCs/>
          <w:sz w:val="22"/>
          <w:szCs w:val="22"/>
        </w:rPr>
        <w:t>“la Secretaría General de esta corporación empleará aquellos nombres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5D6D34">
        <w:rPr>
          <w:rFonts w:ascii="Verdana" w:hAnsi="Verdana"/>
          <w:i/>
          <w:iCs/>
          <w:sz w:val="22"/>
          <w:szCs w:val="22"/>
        </w:rPr>
        <w:t>ficticios para sustituir los reales en el sistema de consulta de procesos,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5D6D34">
        <w:rPr>
          <w:rFonts w:ascii="Verdana" w:hAnsi="Verdana"/>
          <w:i/>
          <w:iCs/>
          <w:sz w:val="22"/>
          <w:szCs w:val="22"/>
        </w:rPr>
        <w:t>abierto al público. También, hará uso de ellos al consignar cualquier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5D6D34">
        <w:rPr>
          <w:rFonts w:ascii="Verdana" w:hAnsi="Verdana"/>
          <w:i/>
          <w:iCs/>
          <w:sz w:val="22"/>
          <w:szCs w:val="22"/>
        </w:rPr>
        <w:t>anotación sobre el caso que amerite su utilización. Esto, con el fin de que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5D6D34">
        <w:rPr>
          <w:rFonts w:ascii="Verdana" w:hAnsi="Verdana"/>
          <w:i/>
          <w:iCs/>
          <w:sz w:val="22"/>
          <w:szCs w:val="22"/>
        </w:rPr>
        <w:t>anonimización de datos cumpla el objetivo de impedir la individualización 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5D6D34">
        <w:rPr>
          <w:rFonts w:ascii="Verdana" w:hAnsi="Verdana"/>
          <w:i/>
          <w:iCs/>
          <w:sz w:val="22"/>
          <w:szCs w:val="22"/>
        </w:rPr>
        <w:t>las personas comprometidas en el presente asunto, para preservar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5D6D34">
        <w:rPr>
          <w:rFonts w:ascii="Verdana" w:hAnsi="Verdana"/>
          <w:i/>
          <w:iCs/>
          <w:sz w:val="22"/>
          <w:szCs w:val="22"/>
        </w:rPr>
        <w:t xml:space="preserve">intimidad del menor de edad. </w:t>
      </w:r>
      <w:r w:rsidRPr="005D6D34">
        <w:rPr>
          <w:rFonts w:ascii="Verdana" w:hAnsi="Verdana"/>
          <w:sz w:val="22"/>
          <w:szCs w:val="22"/>
        </w:rPr>
        <w:t>(Subrayado fuera de texto).</w:t>
      </w:r>
      <w:r>
        <w:rPr>
          <w:rFonts w:ascii="Verdana" w:hAnsi="Verdana"/>
          <w:sz w:val="22"/>
          <w:szCs w:val="22"/>
        </w:rPr>
        <w:t xml:space="preserve"> </w:t>
      </w:r>
    </w:p>
    <w:p w:rsidRPr="005D6D34" w:rsidR="005D6D34" w:rsidP="005D6D34" w:rsidRDefault="005D6D34" w14:paraId="6B2C84E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686AF825" w14:textId="608268D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Esto denota que la anonimización es un mecanismo de salvaguarda de la seguridad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y confidencialidad de la información, en virtud de los principios descritos en la ley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1581 de 2012 y lo dispuesto en la ley 1712 de 2014. Ahora bien, es preciso aclarar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que el proceso de anonimización en ningún caso hace pública la información, solo se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trata de un proceso de adecuación técnica que permite la transmisión de datos.</w:t>
      </w:r>
    </w:p>
    <w:p w:rsidRPr="005D6D34" w:rsidR="005D6D34" w:rsidP="005D6D34" w:rsidRDefault="005D6D34" w14:paraId="6C45C7E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5D6D34" w:rsidR="005D6D34" w:rsidP="005D6D34" w:rsidRDefault="005D6D34" w14:paraId="6ABE8DEA" w14:textId="40459CE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5D6D34">
        <w:rPr>
          <w:rFonts w:ascii="Verdana" w:hAnsi="Verdana"/>
          <w:b/>
          <w:bCs/>
          <w:sz w:val="22"/>
          <w:szCs w:val="22"/>
        </w:rPr>
        <w:t>ANÁLISIS DEL CASO CONCRETO</w:t>
      </w:r>
    </w:p>
    <w:p w:rsidRPr="005D6D34" w:rsidR="005D6D34" w:rsidP="005D6D34" w:rsidRDefault="005D6D34" w14:paraId="1D9A373B" w14:textId="77777777">
      <w:pPr>
        <w:pStyle w:val="Prrafodelista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Verdana" w:hAnsi="Verdana"/>
          <w:b/>
          <w:bCs/>
          <w:sz w:val="22"/>
          <w:szCs w:val="22"/>
        </w:rPr>
      </w:pPr>
    </w:p>
    <w:p w:rsidR="005D6D34" w:rsidP="005D6D34" w:rsidRDefault="005D6D34" w14:paraId="5513D1D1" w14:textId="7DE1C20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En primer lugar, es preciso aclarar que la consulta recae sobre la publicación del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denominado “Libro Rojo”, del cual la Oficina Asesora Jurídica no conoce su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contenido, sin embargo, de acuerdo con lo relatado por la Subdirección de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Adopciones en la solicitud de concepto, este libro sistematiza la información relativa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 las acciones adelantadas para la protección de niñas, niños y adolescentes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afectados por la tragedia de Armero, de esto se puede deducir que la naturaleza de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los registros previstos en el libro correspondan a datos reservados o clasificados. Lo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anterior, en tanto, se trata de registros que documentan las actuaciones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desarrolladas por las autoridades administrativas en relación con los casos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atendidos en el marco de dicha emergencia humanitaria, ocurrida hace más de 39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años.</w:t>
      </w:r>
    </w:p>
    <w:p w:rsidRPr="005D6D34" w:rsidR="005D6D34" w:rsidP="005D6D34" w:rsidRDefault="005D6D34" w14:paraId="4E65F8F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5D6D34" w:rsidR="005D6D34" w:rsidP="005D6D34" w:rsidRDefault="005D6D34" w14:paraId="189EB9A6" w14:textId="3B656D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Así las cosas, se recuerda que en desarrollo de su misionalidad el Instituto recolecta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datos personales de las niñas, niños y adolescentes, dicha información incluye datos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generales como nombres, edad, fecha de nacimiento y dirección de residencia, así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como información específica que puede abarcar historias de atención, entrevistas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psicosociales, entre otros registros relacionados.</w:t>
      </w:r>
    </w:p>
    <w:p w:rsidRPr="005D6D34" w:rsidR="005D6D34" w:rsidP="005D6D34" w:rsidRDefault="005D6D34" w14:paraId="3799A245" w14:textId="709C312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lastRenderedPageBreak/>
        <w:t>Conforme a lo expuesto en la normativa referenciada, vigente, la información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contenida en los expedientes administrativos de restablecimiento de derechos,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incluida la historia de atención, la historia clínica, los reportes de seguimiento y los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registros de los servicios prestados a los menores de edad que den cuenta de su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proceso individual de restablecimiento, se encuentra sometida a reserva y</w:t>
      </w:r>
    </w:p>
    <w:p w:rsidR="005D6D34" w:rsidP="005D6D34" w:rsidRDefault="005D6D34" w14:paraId="55D9793F" w14:textId="2D6AA2B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confidencialidad en los términos previstos por el Código de la Infancia y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Adolescencia (Ley 1098 de 2006).</w:t>
      </w:r>
    </w:p>
    <w:p w:rsidRPr="005D6D34" w:rsidR="005D6D34" w:rsidP="005D6D34" w:rsidRDefault="005D6D34" w14:paraId="0FAE775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1B26F73B" w14:textId="1186837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En consecuencia, dicha información no puede ser entregada ni divulgada sin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autorización expresa del titular toda vez que los datos y documentos allí contenidos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incorporan información sensible, cuyo tratamiento y difusión se encuentran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restringidos por la Ley 1581 de 2012, salvo en las excepciones expresamente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contempladas por la ley, entre ellas la orden de autoridad judicial competente.</w:t>
      </w:r>
    </w:p>
    <w:p w:rsidRPr="005D6D34" w:rsidR="005D6D34" w:rsidP="005D6D34" w:rsidRDefault="005D6D34" w14:paraId="43F84E2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3E7AC93F" w14:textId="72F6955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No obstante, así la información sea remitida a la autoridad judicial solicitante, esta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no pierde su carácter reservado, sino que, a partir de dicho traslado,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administración de la información pasa a ser compartida entre el ICBF y la autoridad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requirente. En tal sentido, el ICBF debe advertir expresamente el carácter reservado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 la documentación, con el fin de que su confidencialidad continúe siendo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garantizada por todas las entidades que la custodien.</w:t>
      </w:r>
    </w:p>
    <w:p w:rsidRPr="005D6D34" w:rsidR="005D6D34" w:rsidP="005D6D34" w:rsidRDefault="005D6D34" w14:paraId="32553BA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922BAC" w:rsidP="005D6D34" w:rsidRDefault="005D6D34" w14:paraId="5ADD45F6" w14:textId="087BACF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Ahora bien, retomando el hecho de que, la información contenida en el “Libro Rojo”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corresponde a información pública con carácter reservado o clasificado, no resulta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procedente autorizar su divulgación o acceso público irrestricto, tal como se plantea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en la solicitud. Permitir el acceso general a dicha información implicaría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imposibilidad de ejercer control sobre quienes podrían conocer de ella, lo que a su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vez comprometería de manera directa el derecho fundamental a la intimidad y a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protección de datos personales de sus titulares.</w:t>
      </w:r>
    </w:p>
    <w:p w:rsidR="00922BAC" w:rsidP="00922BAC" w:rsidRDefault="00922BAC" w14:paraId="7A719CE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5D6D34" w:rsidP="005D6D34" w:rsidRDefault="005D6D34" w14:paraId="4A605F43" w14:textId="51EDC32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En efecto, se trata de información que no solo da cuenta de las actuaciones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realizadas para la protección de los sujetos involucrados al momento de los hechos,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sino que además se trata de aspectos inherentes a su vida privada, los cuales no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 xml:space="preserve">deben ser divulgados ni puestos a disposición del público </w:t>
      </w:r>
      <w:r w:rsidRPr="005D6D34">
        <w:rPr>
          <w:rFonts w:ascii="Verdana" w:hAnsi="Verdana"/>
          <w:b/>
          <w:bCs/>
          <w:sz w:val="22"/>
          <w:szCs w:val="22"/>
        </w:rPr>
        <w:t>sin la autorización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 w:rsidRPr="005D6D34">
        <w:rPr>
          <w:rFonts w:ascii="Verdana" w:hAnsi="Verdana"/>
          <w:b/>
          <w:bCs/>
          <w:sz w:val="22"/>
          <w:szCs w:val="22"/>
        </w:rPr>
        <w:t xml:space="preserve">expresa del titular. </w:t>
      </w:r>
      <w:r w:rsidRPr="005D6D34">
        <w:rPr>
          <w:rFonts w:ascii="Verdana" w:hAnsi="Verdana"/>
          <w:sz w:val="22"/>
          <w:szCs w:val="22"/>
        </w:rPr>
        <w:t>Su circulación indiscriminada podría comprometer de manera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grave la esfera íntima y la dignidad de la persona, contrariando las garantías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constitucionales y la normativa aplicable en materia de protección de datos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personales, incluyendo la Ley 1581 de 2012 y demás disposiciones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complementarias.</w:t>
      </w:r>
    </w:p>
    <w:p w:rsidRPr="005D6D34" w:rsidR="005D6D34" w:rsidP="005D6D34" w:rsidRDefault="005D6D34" w14:paraId="2C79C5E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5D6D34" w:rsidR="005D6D34" w:rsidP="005D6D34" w:rsidRDefault="005D6D34" w14:paraId="0D381E1F" w14:textId="68A63C2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No obstante, pese al carácter reservado y confidencial de la información, conforme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 lo señalado en las normas que regulan su protección, el titular está autorizado 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divulgar lo datos que considere pertinentes, siempre y cuando ello no afecte el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derecho a la intimidad de otras personas. En ese sentido, si la eventual utilización 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divulgación de la información se pretende en el marco de procesos de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reconstrucción de memoria institucional, es posible que los titulares a voluntad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decidan hacer pública su historia de atención o de reunificación familiar.</w:t>
      </w:r>
    </w:p>
    <w:p w:rsidR="005D6D34" w:rsidP="005D6D34" w:rsidRDefault="005D6D34" w14:paraId="12C5D5FF" w14:textId="5440FC7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lastRenderedPageBreak/>
        <w:t>Aunado a ello, en los procesos de reconstrucción, teniendo en cuenta la posibilidad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 anonimizar datos, se considera viable publicar información debidamente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anonimizada que corresponde a datos estadísticos o cuantificables siempre y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cuando se garantice en todo momento la confidencialidad de los mismos.</w:t>
      </w:r>
    </w:p>
    <w:p w:rsidRPr="005D6D34" w:rsidR="005D6D34" w:rsidP="005D6D34" w:rsidRDefault="005D6D34" w14:paraId="035E3C0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5D6D34" w:rsidR="005D6D34" w:rsidP="005D6D34" w:rsidRDefault="005D6D34" w14:paraId="19A554AE" w14:textId="33D39F7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Debe resaltarse, finalmente, que el ICBF actúa como administrador de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información sometida a reserva, sin que le sea atribuible competencia para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autorizar o conceptuar sobre el levantamiento de la misma, función que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corresponde exclusivamente al titular de la información o a la autoridad judicial</w:t>
      </w:r>
    </w:p>
    <w:p w:rsidR="005D6D34" w:rsidP="005D6D34" w:rsidRDefault="005D6D34" w14:paraId="76AE609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competente, en los términos establecidos por la normativa vigente.</w:t>
      </w:r>
    </w:p>
    <w:p w:rsidRPr="005D6D34" w:rsidR="005D6D34" w:rsidP="005D6D34" w:rsidRDefault="005D6D34" w14:paraId="33B706B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5D6D34" w:rsidR="005D6D34" w:rsidP="005D6D34" w:rsidRDefault="005D6D34" w14:paraId="1ABB6DD9" w14:textId="0D923F59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 w:rsidRPr="005D6D34">
        <w:rPr>
          <w:rFonts w:ascii="Verdana" w:hAnsi="Verdana"/>
          <w:b/>
          <w:bCs/>
          <w:sz w:val="22"/>
          <w:szCs w:val="22"/>
        </w:rPr>
        <w:t>CONCLUSIONES</w:t>
      </w:r>
    </w:p>
    <w:p w:rsidRPr="005D6D34" w:rsidR="005D6D34" w:rsidP="005D6D34" w:rsidRDefault="005D6D34" w14:paraId="4E78DBBA" w14:textId="77777777">
      <w:pPr>
        <w:pStyle w:val="Prrafodelista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Verdana" w:hAnsi="Verdana"/>
          <w:b/>
          <w:bCs/>
          <w:sz w:val="22"/>
          <w:szCs w:val="22"/>
        </w:rPr>
      </w:pPr>
    </w:p>
    <w:p w:rsidR="005D6D34" w:rsidP="005D6D34" w:rsidRDefault="005D6D34" w14:paraId="5DE42F45" w14:textId="005BD59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En virtud de lo anterior, respecto del problema jurídico frente a si ¿es jurídicamente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viable que la información contenida en el “</w:t>
      </w:r>
      <w:r w:rsidRPr="005D6D34">
        <w:rPr>
          <w:rFonts w:ascii="Verdana" w:hAnsi="Verdana"/>
          <w:sz w:val="22"/>
          <w:szCs w:val="22"/>
        </w:rPr>
        <w:t>Libro Rojo”, que documenta las acciones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adelantadas con niñas, niños y adolescentes afectados por la tragedia de Armero,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sea de conocimiento público sin vulnerar el derecho a la intimidad, ¿la reserva de la información y la protección de datos personales?</w:t>
      </w:r>
      <w:r w:rsidRPr="005D6D34">
        <w:rPr>
          <w:rFonts w:ascii="Verdana" w:hAnsi="Verdana"/>
          <w:sz w:val="22"/>
          <w:szCs w:val="22"/>
        </w:rPr>
        <w:t xml:space="preserve"> se concluye que:</w:t>
      </w:r>
    </w:p>
    <w:p w:rsidRPr="005D6D34" w:rsidR="005D6D34" w:rsidP="005D6D34" w:rsidRDefault="005D6D34" w14:paraId="20B7566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4CB33EE6" w14:textId="32E057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La información contenida en el “Libro Rojo” reviste un carácter sensible y protegido,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cuya divulgación irrestricta no es procedente, dado que su acceso público podría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vulnerar derechos fundamentales de las personas involucradas, en particular los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relativos a la intimidad, la dignidad y la protección de sus datos personales. La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impone obligaciones claras sobre el manejo de la información por parte del ICBF y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 cualquier otra autoridad que llegue a tenerla bajo su custodia.</w:t>
      </w:r>
    </w:p>
    <w:p w:rsidRPr="005D6D34" w:rsidR="005D6D34" w:rsidP="005D6D34" w:rsidRDefault="005D6D34" w14:paraId="547C1F7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5D6D34" w:rsidR="005D6D34" w:rsidP="005D6D34" w:rsidRDefault="005D6D34" w14:paraId="1380D16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En ese sentido, la reserva y confidencialidad de los registros relacionados con la</w:t>
      </w:r>
    </w:p>
    <w:p w:rsidR="005D6D34" w:rsidP="005D6D34" w:rsidRDefault="005D6D34" w14:paraId="2093F9EB" w14:textId="4C91EB8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atención de niñas, niños y adolescentes afectados por la tragedia de Armero debe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ser garantizada de manera continua, incluso cuando la información sea compartida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con autoridades judiciales u otras entidades competentes. La remisión de los datos,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en gracia de discusión, a otras entidades no implica la pérdida de su carácter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reservado, sino que exige la adopción de las medidas necesarias para preservar su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confidencialidad y evitar accesos no autorizados, asegurando así la protección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efectiva de los derechos fundamentales de los titulares.</w:t>
      </w:r>
    </w:p>
    <w:p w:rsidRPr="005D6D34" w:rsidR="005D6D34" w:rsidP="005D6D34" w:rsidRDefault="005D6D34" w14:paraId="2396954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70146DEB" w14:textId="77F967B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No obstante, pese al carácter confidencial o reservado de la información, debe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tenerse presente que su divulgación resulta procedente cuando el titular la autoriza,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siempre que ello no vulnere la intimidad de terceros. En consecuencia,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en el marco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 procesos de reconstrucción de memoria institucional, los titulares pueden optar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voluntariamente por hacer pública su información personal o familiar.</w:t>
      </w:r>
    </w:p>
    <w:p w:rsidRPr="005D6D34" w:rsidR="005D6D34" w:rsidP="005D6D34" w:rsidRDefault="005D6D34" w14:paraId="045946E3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0C20251D" w14:textId="50BDE5C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Asimismo, se considera admisible la publicación de datos previamente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 xml:space="preserve">anonimizados o de información exclusivamente cuantitativa con fines </w:t>
      </w:r>
      <w:r w:rsidRPr="005D6D34">
        <w:rPr>
          <w:rFonts w:ascii="Verdana" w:hAnsi="Verdana"/>
          <w:sz w:val="22"/>
          <w:szCs w:val="22"/>
        </w:rPr>
        <w:lastRenderedPageBreak/>
        <w:t>estadísticos 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 análisis, siempre que se garantice en todo momento la protección y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confidencialidad de la información original sujeta a anonimización.</w:t>
      </w:r>
    </w:p>
    <w:p w:rsidRPr="005D6D34" w:rsidR="005D6D34" w:rsidP="005D6D34" w:rsidRDefault="005D6D34" w14:paraId="4163D19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26FF69FD" w14:textId="22D99A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Finalmente, se reitera que el ICBF, en su calidad de administrador de la información,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debe actuar con estricto apego a los principios de reserva y confidencialidad, sin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facultad para levantar la reserva de manera unilateral. Cualquier solicitud de acceso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 los datos deberá requerir autorización expresa del titular o de la autoridad judicial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competente, garantizando de esta forma que el tratamiento de la información se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realice conforme a la ley, protegiendo la intimidad y los derechos de las personas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afectadas.</w:t>
      </w:r>
    </w:p>
    <w:p w:rsidRPr="005D6D34" w:rsidR="005D6D34" w:rsidP="005D6D34" w:rsidRDefault="005D6D34" w14:paraId="7467FB3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="005D6D34" w:rsidP="005D6D34" w:rsidRDefault="005D6D34" w14:paraId="25BF287C" w14:textId="18EDE06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La presente respuesta tiene naturaleza de concepto jurídico y constituye un criterio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auxiliar de interpretación, de conformidad con los establecido en los artículos 26 del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Código Civil y 28 del Código de Procedimiento Administrativo y de lo Contencioso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Administrativo, sustituido por el artículo 1º de la Ley 1755 de 2015. No obstante,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tiene carácter vinculante para las dependencias internas del Instituto y terceros que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colaboren en la prestación del servicio público o en el desarrollo de la función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administrativa de competencia del ICBF, en virtud de la función asignada a la Oficina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Asesora Jurídica de mantener la unidad doctrinaria e impartir las directrices jurídicas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necesarias para el desarrollo de las funciones del Instituto, de conformidad con los</w:t>
      </w:r>
      <w:r>
        <w:rPr>
          <w:rFonts w:ascii="Verdana" w:hAnsi="Verdana"/>
          <w:sz w:val="22"/>
          <w:szCs w:val="22"/>
        </w:rPr>
        <w:t xml:space="preserve"> </w:t>
      </w:r>
      <w:r w:rsidRPr="005D6D34">
        <w:rPr>
          <w:rFonts w:ascii="Verdana" w:hAnsi="Verdana"/>
          <w:sz w:val="22"/>
          <w:szCs w:val="22"/>
        </w:rPr>
        <w:t>numerales 8 y 15 del Artículo 6º del Decreto 987 de 2012</w:t>
      </w:r>
      <w:r>
        <w:rPr>
          <w:rFonts w:ascii="Verdana" w:hAnsi="Verdana"/>
          <w:sz w:val="22"/>
          <w:szCs w:val="22"/>
        </w:rPr>
        <w:t>.</w:t>
      </w:r>
    </w:p>
    <w:p w:rsidRPr="005D6D34" w:rsidR="005D6D34" w:rsidP="005D6D34" w:rsidRDefault="005D6D34" w14:paraId="4BFBE0D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5D6D34" w:rsidR="00922BAC" w:rsidP="005D6D34" w:rsidRDefault="005D6D34" w14:paraId="06F1C10A" w14:textId="3180D62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  <w:lang w:val="pt-PT"/>
        </w:rPr>
      </w:pPr>
      <w:r w:rsidRPr="005D6D34">
        <w:rPr>
          <w:rFonts w:ascii="Verdana" w:hAnsi="Verdana"/>
          <w:sz w:val="22"/>
          <w:szCs w:val="22"/>
          <w:lang w:val="pt-PT"/>
        </w:rPr>
        <w:t>Cordialmente,</w:t>
      </w:r>
    </w:p>
    <w:p w:rsidRPr="005D6D34" w:rsidR="00922BAC" w:rsidP="00922BAC" w:rsidRDefault="00922BAC" w14:paraId="77D1629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:rsidRPr="005D6D34" w:rsidR="00922BAC" w:rsidP="00922BAC" w:rsidRDefault="00922BAC" w14:paraId="7D7FF51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:rsidRPr="005D6D34" w:rsidR="00922BAC" w:rsidP="00922BAC" w:rsidRDefault="00922BAC" w14:paraId="403A4DA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  <w:lang w:val="pt-PT"/>
        </w:rPr>
      </w:pPr>
    </w:p>
    <w:p w:rsidR="00922BAC" w:rsidP="005D6D34" w:rsidRDefault="005D6D34" w14:paraId="65F50D9E" w14:textId="5716ED3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5D6D34">
        <w:rPr>
          <w:rFonts w:ascii="Verdana" w:hAnsi="Verdana"/>
          <w:b/>
          <w:bCs/>
          <w:sz w:val="22"/>
          <w:szCs w:val="22"/>
          <w:lang w:val="pt-PT"/>
        </w:rPr>
        <w:t>JOSÉ MIGUEL RUEDA V</w:t>
      </w:r>
      <w:r>
        <w:rPr>
          <w:rFonts w:ascii="Verdana" w:hAnsi="Verdana"/>
          <w:b/>
          <w:bCs/>
          <w:sz w:val="22"/>
          <w:szCs w:val="22"/>
          <w:lang w:val="pt-PT"/>
        </w:rPr>
        <w:t>ÁSQUEZ</w:t>
      </w:r>
    </w:p>
    <w:p w:rsidRPr="005D6D34" w:rsidR="005D6D34" w:rsidP="005D6D34" w:rsidRDefault="005D6D34" w14:paraId="1F8CC80D" w14:textId="5F6FF9E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2"/>
          <w:szCs w:val="22"/>
        </w:rPr>
      </w:pPr>
      <w:r w:rsidRPr="005D6D34">
        <w:rPr>
          <w:rFonts w:ascii="Verdana" w:hAnsi="Verdana"/>
          <w:sz w:val="22"/>
          <w:szCs w:val="22"/>
        </w:rPr>
        <w:t>Jefe de la Oficina Asesora Jurídica</w:t>
      </w:r>
    </w:p>
    <w:p w:rsidRPr="005D6D34" w:rsidR="00922BAC" w:rsidP="00922BAC" w:rsidRDefault="00922BAC" w14:paraId="116A73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274D6B5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1DE6875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03B8F9B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446EC65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11F8858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1A4F403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5C12088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1357F2E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Pr="005D6D34" w:rsidR="00922BAC" w:rsidP="00922BAC" w:rsidRDefault="00922BAC" w14:paraId="13F9840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922BAC" w:rsidP="00922BAC" w:rsidRDefault="00922BAC" w14:paraId="0DFA218C" w14:textId="7D6DD2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Notas de pie de página:</w:t>
      </w:r>
    </w:p>
    <w:p w:rsidR="00922BAC" w:rsidP="00922BAC" w:rsidRDefault="00922BAC" w14:paraId="4F876BA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sz w:val="22"/>
          <w:szCs w:val="22"/>
        </w:rPr>
      </w:pPr>
    </w:p>
    <w:p w:rsidR="00922BAC" w:rsidP="00922BAC" w:rsidRDefault="00922BAC" w14:paraId="25658BA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1 Sentencia T-517 de 1998.</w:t>
      </w:r>
    </w:p>
    <w:p w:rsidRPr="001D5B63" w:rsidR="00922BAC" w:rsidP="00922BAC" w:rsidRDefault="00922BAC" w14:paraId="66081E4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  <w:lang w:val="es-ES"/>
        </w:rPr>
      </w:pPr>
    </w:p>
    <w:p w:rsidR="00922BAC" w:rsidP="00922BAC" w:rsidRDefault="00922BAC" w14:paraId="0E7B9EF6" w14:textId="53BF07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2 "Por la cual se adopta la Política de Seguridad Digital y Continuidad de la Operación, las Políticas Generales de</w:t>
      </w:r>
      <w:r>
        <w:rPr>
          <w:rFonts w:ascii="Verdana" w:hAnsi="Verdana"/>
          <w:sz w:val="22"/>
          <w:szCs w:val="22"/>
        </w:rPr>
        <w:t xml:space="preserve"> </w:t>
      </w:r>
      <w:r w:rsidRPr="00922BAC">
        <w:rPr>
          <w:rFonts w:ascii="Verdana" w:hAnsi="Verdana"/>
          <w:sz w:val="22"/>
          <w:szCs w:val="22"/>
        </w:rPr>
        <w:t>Manejo y se definen lineamientos frente al uso y manejo de la información".</w:t>
      </w:r>
    </w:p>
    <w:p w:rsidRPr="00922BAC" w:rsidR="00922BAC" w:rsidP="00922BAC" w:rsidRDefault="00922BAC" w14:paraId="2DE3330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3 https://colaboracion.dnp.gov.co/CDT/Conpes/Econ%C3%B3micos/3920.pdf</w:t>
      </w:r>
    </w:p>
    <w:p w:rsidRPr="00922BAC" w:rsidR="00922BAC" w:rsidP="00922BAC" w:rsidRDefault="00922BAC" w14:paraId="002944E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lastRenderedPageBreak/>
        <w:t>4https://www.archivogeneral.gov.co/sites/default/files/Estructura_Web/5_Consulte/Recursos/Publicacionees/</w:t>
      </w:r>
    </w:p>
    <w:p w:rsidR="00922BAC" w:rsidP="00922BAC" w:rsidRDefault="00922BAC" w14:paraId="18A4DD3E" w14:textId="4A45E01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922BAC">
        <w:rPr>
          <w:rFonts w:ascii="Verdana" w:hAnsi="Verdana"/>
          <w:sz w:val="22"/>
          <w:szCs w:val="22"/>
        </w:rPr>
        <w:t>Guia_de_Anonimizacion-min.pdf</w:t>
      </w:r>
    </w:p>
    <w:p w:rsidR="00922BAC" w:rsidP="00922BAC" w:rsidRDefault="00922BAC" w14:paraId="1635C65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</w:rPr>
      </w:pPr>
    </w:p>
    <w:p w:rsidRPr="001D5B63" w:rsidR="00922BAC" w:rsidRDefault="00922BAC" w14:paraId="5AC5DA04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2"/>
          <w:szCs w:val="22"/>
          <w:lang w:val="es-ES"/>
        </w:rPr>
      </w:pPr>
    </w:p>
    <w:sectPr w:rsidRPr="001D5B63" w:rsidR="00922BAC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Obliqu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A53"/>
    <w:multiLevelType w:val="multilevel"/>
    <w:tmpl w:val="95928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2A1E6CF9"/>
    <w:multiLevelType w:val="hybridMultilevel"/>
    <w:tmpl w:val="585423FA"/>
    <w:lvl w:ilvl="0" w:tplc="156AF54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24037"/>
    <w:multiLevelType w:val="multilevel"/>
    <w:tmpl w:val="63B480D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39F5A46"/>
    <w:multiLevelType w:val="hybridMultilevel"/>
    <w:tmpl w:val="422E6F80"/>
    <w:lvl w:ilvl="0" w:tplc="2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02075">
    <w:abstractNumId w:val="0"/>
  </w:num>
  <w:num w:numId="2" w16cid:durableId="1139148713">
    <w:abstractNumId w:val="1"/>
  </w:num>
  <w:num w:numId="3" w16cid:durableId="1783768403">
    <w:abstractNumId w:val="3"/>
  </w:num>
  <w:num w:numId="4" w16cid:durableId="152786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FF"/>
    <w:rsid w:val="000C47E9"/>
    <w:rsid w:val="001D5B63"/>
    <w:rsid w:val="00472AFF"/>
    <w:rsid w:val="004B676F"/>
    <w:rsid w:val="004F798D"/>
    <w:rsid w:val="005D6D34"/>
    <w:rsid w:val="00922BAC"/>
    <w:rsid w:val="2C11AE78"/>
    <w:rsid w:val="44610E95"/>
    <w:rsid w:val="5CCE2B3F"/>
    <w:rsid w:val="7477E7C6"/>
    <w:rsid w:val="749EC156"/>
    <w:rsid w:val="74A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5BA2"/>
  <w15:chartTrackingRefBased/>
  <w15:docId w15:val="{2D190E23-29DC-47F8-A859-645797F4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2A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2A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2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2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2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2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2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2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2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472A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472A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472A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472AFF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472AFF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472AFF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472AFF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472AFF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472A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2A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472A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2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472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2AFF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472A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2A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2A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2A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472A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2AFF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1D5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EFE83-26F7-422F-AC30-C0B456A05443}"/>
</file>

<file path=customXml/itemProps2.xml><?xml version="1.0" encoding="utf-8"?>
<ds:datastoreItem xmlns:ds="http://schemas.openxmlformats.org/officeDocument/2006/customXml" ds:itemID="{EC4FA548-B3F0-4CE5-932E-3C751D8C07DA}"/>
</file>

<file path=customXml/itemProps3.xml><?xml version="1.0" encoding="utf-8"?>
<ds:datastoreItem xmlns:ds="http://schemas.openxmlformats.org/officeDocument/2006/customXml" ds:itemID="{0217812A-1311-49CD-91A5-C1B8B3C4587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2026-04-16T21:01:00Z</dcterms:created>
  <dcterms:modified xsi:type="dcterms:W3CDTF">2026-05-05T15:39:39Z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