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3959" w:rsidR="00823959" w:rsidP="00823959" w:rsidRDefault="00823959" w14:paraId="48D6D5E5" w14:textId="707BA682">
      <w:pPr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823959">
        <w:rPr>
          <w:rFonts w:ascii="Verdana" w:hAnsi="Verdana"/>
          <w:b/>
          <w:bCs/>
          <w:sz w:val="22"/>
          <w:szCs w:val="22"/>
          <w:lang w:val="es-ES"/>
        </w:rPr>
        <w:t>CONCEPTO 9 DE 2024</w:t>
      </w:r>
    </w:p>
    <w:p w:rsidR="00823959" w:rsidP="00823959" w:rsidRDefault="00823959" w14:paraId="10666477" w14:textId="58F570BE">
      <w:pPr>
        <w:jc w:val="center"/>
        <w:rPr>
          <w:rFonts w:ascii="Verdana" w:hAnsi="Verdana"/>
          <w:sz w:val="22"/>
          <w:szCs w:val="22"/>
          <w:lang w:val="es-ES"/>
        </w:rPr>
      </w:pPr>
      <w:r w:rsidRPr="2E70811C" w:rsidR="6E5279D4">
        <w:rPr>
          <w:rFonts w:ascii="Verdana" w:hAnsi="Verdana"/>
          <w:sz w:val="22"/>
          <w:szCs w:val="22"/>
          <w:lang w:val="es-ES"/>
        </w:rPr>
        <w:t xml:space="preserve">(10 de </w:t>
      </w:r>
      <w:r w:rsidRPr="2E70811C" w:rsidR="55EBDF7D">
        <w:rPr>
          <w:rFonts w:ascii="Verdana" w:hAnsi="Verdana"/>
          <w:sz w:val="22"/>
          <w:szCs w:val="22"/>
          <w:lang w:val="es-ES"/>
        </w:rPr>
        <w:t>octubre</w:t>
      </w:r>
      <w:r w:rsidRPr="2E70811C" w:rsidR="6E5279D4">
        <w:rPr>
          <w:rFonts w:ascii="Verdana" w:hAnsi="Verdana"/>
          <w:sz w:val="22"/>
          <w:szCs w:val="22"/>
          <w:lang w:val="es-ES"/>
        </w:rPr>
        <w:t>)</w:t>
      </w:r>
    </w:p>
    <w:p w:rsidR="00823959" w:rsidP="2E70811C" w:rsidRDefault="00823959" w14:paraId="551D1575" w14:textId="75A13155">
      <w:pPr>
        <w:pStyle w:val="Normal"/>
        <w:jc w:val="center"/>
        <w:rPr>
          <w:rFonts w:ascii="Verdana" w:hAnsi="Verdana" w:eastAsia="Verdana" w:cs="Verdana"/>
          <w:noProof w:val="0"/>
          <w:sz w:val="22"/>
          <w:szCs w:val="22"/>
          <w:lang w:val="es-ES"/>
        </w:rPr>
      </w:pPr>
      <w:r w:rsidRPr="2E70811C" w:rsidR="6C8A46B9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  <w:t>INSTITUTO COLOMBIANO DE BIENESTAR FAMILIAR</w:t>
      </w:r>
    </w:p>
    <w:p w:rsidR="2E70811C" w:rsidP="2E70811C" w:rsidRDefault="2E70811C" w14:paraId="25779B7F" w14:textId="7E798D31">
      <w:pPr>
        <w:pStyle w:val="Normal"/>
        <w:jc w:val="center"/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CO"/>
        </w:rPr>
      </w:pPr>
    </w:p>
    <w:p w:rsidRPr="00823959" w:rsidR="00823959" w:rsidP="00823959" w:rsidRDefault="00823959" w14:paraId="6D9CB051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823959">
        <w:rPr>
          <w:rFonts w:ascii="Verdana" w:hAnsi="Verdana"/>
          <w:b/>
          <w:bCs/>
          <w:sz w:val="22"/>
          <w:szCs w:val="22"/>
        </w:rPr>
        <w:t>Para: DIANA PATRICIA ARBOLEDA RAMÍREZ</w:t>
      </w:r>
    </w:p>
    <w:p w:rsidRPr="00823959" w:rsidR="00823959" w:rsidP="00823959" w:rsidRDefault="00823959" w14:paraId="2F250BD6" w14:textId="77777777">
      <w:pPr>
        <w:ind w:firstLine="708"/>
        <w:jc w:val="both"/>
        <w:rPr>
          <w:rFonts w:ascii="Verdana" w:hAnsi="Verdana"/>
          <w:sz w:val="22"/>
          <w:szCs w:val="22"/>
        </w:rPr>
      </w:pPr>
      <w:r w:rsidRPr="00823959">
        <w:rPr>
          <w:rFonts w:ascii="Verdana" w:hAnsi="Verdana"/>
          <w:sz w:val="22"/>
          <w:szCs w:val="22"/>
        </w:rPr>
        <w:t>Directora del ICBF – Regional Bogotá</w:t>
      </w:r>
    </w:p>
    <w:p w:rsidR="00823959" w:rsidP="00823959" w:rsidRDefault="00823959" w14:paraId="3B43E6B0" w14:textId="26ECB92B">
      <w:pPr>
        <w:jc w:val="both"/>
        <w:rPr>
          <w:rFonts w:ascii="Verdana" w:hAnsi="Verdana"/>
          <w:sz w:val="22"/>
          <w:szCs w:val="22"/>
        </w:rPr>
      </w:pPr>
      <w:r w:rsidRPr="2E70811C" w:rsidR="6E5279D4">
        <w:rPr>
          <w:rFonts w:ascii="Verdana" w:hAnsi="Verdana"/>
          <w:b w:val="1"/>
          <w:bCs w:val="1"/>
          <w:sz w:val="22"/>
          <w:szCs w:val="22"/>
        </w:rPr>
        <w:t xml:space="preserve">Asunto: </w:t>
      </w:r>
      <w:r w:rsidRPr="2E70811C" w:rsidR="6E5279D4">
        <w:rPr>
          <w:rFonts w:ascii="Verdana" w:hAnsi="Verdana"/>
          <w:sz w:val="22"/>
          <w:szCs w:val="22"/>
        </w:rPr>
        <w:t>Concepto procesos de cobro coactivo con ocasión de cuota alimentaria</w:t>
      </w:r>
      <w:r w:rsidRPr="2E70811C" w:rsidR="6E5279D4">
        <w:rPr>
          <w:rFonts w:ascii="Verdana" w:hAnsi="Verdana"/>
          <w:sz w:val="22"/>
          <w:szCs w:val="22"/>
        </w:rPr>
        <w:t>.</w:t>
      </w:r>
    </w:p>
    <w:p w:rsidRPr="00823959" w:rsidR="00823959" w:rsidP="00823959" w:rsidRDefault="00823959" w14:paraId="4C5DDDDA" w14:textId="5BB7320F">
      <w:pPr>
        <w:jc w:val="both"/>
        <w:rPr>
          <w:rFonts w:ascii="Verdana" w:hAnsi="Verdana"/>
          <w:sz w:val="22"/>
          <w:szCs w:val="22"/>
        </w:rPr>
      </w:pPr>
      <w:r w:rsidRPr="00823959">
        <w:rPr>
          <w:rFonts w:ascii="Verdana" w:hAnsi="Verdana"/>
          <w:sz w:val="22"/>
          <w:szCs w:val="22"/>
        </w:rPr>
        <w:t>De manera atenta y en el marco de nuestras competencias1, esta Oficina emite</w:t>
      </w:r>
      <w:r w:rsidR="00015B6D">
        <w:rPr>
          <w:rFonts w:ascii="Verdana" w:hAnsi="Verdana"/>
          <w:sz w:val="22"/>
          <w:szCs w:val="22"/>
        </w:rPr>
        <w:t xml:space="preserve"> </w:t>
      </w:r>
      <w:r w:rsidRPr="00823959">
        <w:rPr>
          <w:rFonts w:ascii="Verdana" w:hAnsi="Verdana"/>
          <w:sz w:val="22"/>
          <w:szCs w:val="22"/>
        </w:rPr>
        <w:t>concepto jurídico relacionado con la pérdida de fuerza ejecutoria del acto</w:t>
      </w:r>
      <w:r w:rsidR="00015B6D">
        <w:rPr>
          <w:rFonts w:ascii="Verdana" w:hAnsi="Verdana"/>
          <w:sz w:val="22"/>
          <w:szCs w:val="22"/>
        </w:rPr>
        <w:t xml:space="preserve"> </w:t>
      </w:r>
      <w:r w:rsidRPr="00823959">
        <w:rPr>
          <w:rFonts w:ascii="Verdana" w:hAnsi="Verdana"/>
          <w:sz w:val="22"/>
          <w:szCs w:val="22"/>
        </w:rPr>
        <w:t>administrativo proferido por el defensor de familia a través del cual se fija una cuota</w:t>
      </w:r>
      <w:r w:rsidR="00015B6D">
        <w:rPr>
          <w:rFonts w:ascii="Verdana" w:hAnsi="Verdana"/>
          <w:sz w:val="22"/>
          <w:szCs w:val="22"/>
        </w:rPr>
        <w:t xml:space="preserve"> </w:t>
      </w:r>
      <w:r w:rsidRPr="00823959">
        <w:rPr>
          <w:rFonts w:ascii="Verdana" w:hAnsi="Verdana"/>
          <w:sz w:val="22"/>
          <w:szCs w:val="22"/>
        </w:rPr>
        <w:t>de alimentos, en el marco del proceso administrativo de restablecimiento de</w:t>
      </w:r>
      <w:r w:rsidR="00015B6D">
        <w:rPr>
          <w:rFonts w:ascii="Verdana" w:hAnsi="Verdana"/>
          <w:sz w:val="22"/>
          <w:szCs w:val="22"/>
        </w:rPr>
        <w:t xml:space="preserve"> </w:t>
      </w:r>
      <w:r w:rsidRPr="00823959">
        <w:rPr>
          <w:rFonts w:ascii="Verdana" w:hAnsi="Verdana"/>
          <w:sz w:val="22"/>
          <w:szCs w:val="22"/>
        </w:rPr>
        <w:t>derechos - PARD establecido en el artículo 99 de la Ley 1098 de 2006, modificado</w:t>
      </w:r>
      <w:r w:rsidR="00015B6D">
        <w:rPr>
          <w:rFonts w:ascii="Verdana" w:hAnsi="Verdana"/>
          <w:sz w:val="22"/>
          <w:szCs w:val="22"/>
        </w:rPr>
        <w:t xml:space="preserve"> </w:t>
      </w:r>
      <w:r w:rsidRPr="00823959">
        <w:rPr>
          <w:rFonts w:ascii="Verdana" w:hAnsi="Verdana"/>
          <w:sz w:val="22"/>
          <w:szCs w:val="22"/>
        </w:rPr>
        <w:t>por el artículo 3° de la Ley 1878 de 2018.</w:t>
      </w:r>
    </w:p>
    <w:p w:rsidR="00823959" w:rsidP="00823959" w:rsidRDefault="00823959" w14:paraId="3226E42C" w14:textId="7A9A17ED">
      <w:pPr>
        <w:jc w:val="both"/>
        <w:rPr>
          <w:rFonts w:ascii="Verdana" w:hAnsi="Verdana"/>
          <w:sz w:val="22"/>
          <w:szCs w:val="22"/>
        </w:rPr>
      </w:pPr>
      <w:r w:rsidRPr="00823959">
        <w:rPr>
          <w:rFonts w:ascii="Verdana" w:hAnsi="Verdana"/>
          <w:sz w:val="22"/>
          <w:szCs w:val="22"/>
        </w:rPr>
        <w:t>Previo al análisis del ordenamiento jurídico vigente y con fundamento en los</w:t>
      </w:r>
      <w:r w:rsidR="00015B6D">
        <w:rPr>
          <w:rFonts w:ascii="Verdana" w:hAnsi="Verdana"/>
          <w:sz w:val="22"/>
          <w:szCs w:val="22"/>
        </w:rPr>
        <w:t xml:space="preserve"> </w:t>
      </w:r>
      <w:r w:rsidRPr="00823959">
        <w:rPr>
          <w:rFonts w:ascii="Verdana" w:hAnsi="Verdana"/>
          <w:sz w:val="22"/>
          <w:szCs w:val="22"/>
        </w:rPr>
        <w:t>artículos 23 de la Constitución Política, 13 del C.P.A.C.A, sustituido por el artículo 1º</w:t>
      </w:r>
      <w:r w:rsidR="00015B6D">
        <w:rPr>
          <w:rFonts w:ascii="Verdana" w:hAnsi="Verdana"/>
          <w:sz w:val="22"/>
          <w:szCs w:val="22"/>
        </w:rPr>
        <w:t xml:space="preserve"> </w:t>
      </w:r>
      <w:r w:rsidRPr="00823959">
        <w:rPr>
          <w:rFonts w:ascii="Verdana" w:hAnsi="Verdana"/>
          <w:sz w:val="22"/>
          <w:szCs w:val="22"/>
        </w:rPr>
        <w:t>de la Ley 1755 de 2015, y el numeral 4° del artículo 6° del Decreto 987 de 2012,</w:t>
      </w:r>
      <w:r w:rsidR="00015B6D">
        <w:rPr>
          <w:rFonts w:ascii="Verdana" w:hAnsi="Verdana"/>
          <w:sz w:val="22"/>
          <w:szCs w:val="22"/>
        </w:rPr>
        <w:t xml:space="preserve"> </w:t>
      </w:r>
      <w:r w:rsidRPr="00823959">
        <w:rPr>
          <w:rFonts w:ascii="Verdana" w:hAnsi="Verdana"/>
          <w:sz w:val="22"/>
          <w:szCs w:val="22"/>
        </w:rPr>
        <w:t>esta Oficina da respuesta en los siguientes términos:</w:t>
      </w:r>
    </w:p>
    <w:p w:rsidRPr="00015B6D" w:rsidR="00015B6D" w:rsidP="00015B6D" w:rsidRDefault="00015B6D" w14:paraId="2DC5049E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015B6D">
        <w:rPr>
          <w:rFonts w:ascii="Verdana" w:hAnsi="Verdana"/>
          <w:b/>
          <w:bCs/>
          <w:sz w:val="22"/>
          <w:szCs w:val="22"/>
        </w:rPr>
        <w:t>1. Problema jurídico</w:t>
      </w:r>
    </w:p>
    <w:p w:rsidRPr="00015B6D" w:rsidR="00015B6D" w:rsidP="00015B6D" w:rsidRDefault="00015B6D" w14:paraId="44418654" w14:textId="55657F83">
      <w:p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En el presente concepto se dará respuesta al problema jurídico formulado por el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Grupo Jurídico de la Dirección Regional Bogotá, el cual está relacionado con la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pérdida de fuerza ejecutoria del acto administrativo proferido por el defensor de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familia a través del cual se fija una cuota de alimentos, en el marco del proceso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administrativo de restablecimiento de derechos - PARD establecido en el artículo 99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de la Ley 1098 de 2006, modificado por el artículo 3° de la Ley 1878 de 2018.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Frente al particular, esa Oficina planteó las siguientes interrogantes:</w:t>
      </w:r>
    </w:p>
    <w:p w:rsidRPr="00015B6D" w:rsidR="00015B6D" w:rsidP="00015B6D" w:rsidRDefault="00015B6D" w14:paraId="64028CB6" w14:textId="30B614AB">
      <w:pPr>
        <w:jc w:val="both"/>
        <w:rPr>
          <w:rFonts w:ascii="Verdana" w:hAnsi="Verdana"/>
          <w:i/>
          <w:iCs/>
          <w:sz w:val="22"/>
          <w:szCs w:val="22"/>
        </w:rPr>
      </w:pPr>
      <w:r w:rsidRPr="00015B6D">
        <w:rPr>
          <w:rFonts w:ascii="Verdana" w:hAnsi="Verdana"/>
          <w:i/>
          <w:iCs/>
          <w:sz w:val="22"/>
          <w:szCs w:val="22"/>
        </w:rPr>
        <w:t>I. ¿El título complejo (certificación expedida por el defensor de familia), puede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ser expedido, cuando el acto administrativo que fijó los alimentos ha perdido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fuerza ejecutoria? Es decir, cuando hayan transcurrido más de cinco años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desde su expedición y ejecutoria.</w:t>
      </w:r>
    </w:p>
    <w:p w:rsidRPr="00015B6D" w:rsidR="00015B6D" w:rsidP="00015B6D" w:rsidRDefault="00015B6D" w14:paraId="49EBF0F1" w14:textId="05C1E22F">
      <w:pPr>
        <w:jc w:val="both"/>
        <w:rPr>
          <w:rFonts w:ascii="Verdana" w:hAnsi="Verdana"/>
          <w:i/>
          <w:iCs/>
          <w:sz w:val="22"/>
          <w:szCs w:val="22"/>
        </w:rPr>
      </w:pPr>
      <w:r w:rsidRPr="00015B6D">
        <w:rPr>
          <w:rFonts w:ascii="Verdana" w:hAnsi="Verdana"/>
          <w:i/>
          <w:iCs/>
          <w:sz w:val="22"/>
          <w:szCs w:val="22"/>
        </w:rPr>
        <w:t>II. ¿El título complejo (certificación expedida por el defensor de familia), puede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ser expedido, cuando han transcurrido más de cinco (5) años del reintegro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del menor a su medio familiar o definición de su situación jurídica?</w:t>
      </w:r>
    </w:p>
    <w:p w:rsidR="00015B6D" w:rsidP="00015B6D" w:rsidRDefault="00015B6D" w14:paraId="5DDA23A2" w14:textId="13373E49">
      <w:p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En este punto es necesario poner de presente que la Oficina Asesora Jurídica, a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través de memorando radicado 202210440000195383 emitió el concepto No. 11 del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29 de noviembre de 2022, con alcance mediante memorando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lastRenderedPageBreak/>
        <w:t>202310440000176433 del 21 de diciembre de2023, por medio de los cuales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estableció los parámetros para que el Instituto Colombiano de Bienestar Familiar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adelantara el respectivo cobro de las cuotas alimentarias mediante el proceso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persuasivo y coactivo a los alimentantes de los niños, niñas y adolescentes, que se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les ha decretado medida de restablecimiento de derechos en las modalidades de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acogimiento residencial y familiar, en atención a la subrogación otorgada por el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artículo 59 de la Ley 1098 de 2006.</w:t>
      </w:r>
    </w:p>
    <w:p w:rsidR="00015B6D" w:rsidP="00015B6D" w:rsidRDefault="00015B6D" w14:paraId="18B04FD3" w14:textId="77777777">
      <w:pPr>
        <w:jc w:val="both"/>
        <w:rPr>
          <w:rFonts w:ascii="Verdana" w:hAnsi="Verdana"/>
          <w:sz w:val="22"/>
          <w:szCs w:val="22"/>
        </w:rPr>
      </w:pPr>
    </w:p>
    <w:p w:rsidRPr="00015B6D" w:rsidR="00015B6D" w:rsidP="00015B6D" w:rsidRDefault="00015B6D" w14:paraId="6C43F261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015B6D">
        <w:rPr>
          <w:rFonts w:ascii="Verdana" w:hAnsi="Verdana"/>
          <w:b/>
          <w:bCs/>
          <w:sz w:val="22"/>
          <w:szCs w:val="22"/>
        </w:rPr>
        <w:t>2. Ruta metodológica para responder el problema jurídico</w:t>
      </w:r>
    </w:p>
    <w:p w:rsidRPr="00015B6D" w:rsidR="00015B6D" w:rsidP="00015B6D" w:rsidRDefault="00015B6D" w14:paraId="3482FC73" w14:textId="29040820">
      <w:p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Para resolver el problema jurídico planteado, es necesario abordar: (i) los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antecedentes de la presente solicitud; (</w:t>
      </w:r>
      <w:proofErr w:type="spellStart"/>
      <w:r w:rsidRPr="00015B6D">
        <w:rPr>
          <w:rFonts w:ascii="Verdana" w:hAnsi="Verdana"/>
          <w:sz w:val="22"/>
          <w:szCs w:val="22"/>
        </w:rPr>
        <w:t>ii</w:t>
      </w:r>
      <w:proofErr w:type="spellEnd"/>
      <w:r w:rsidRPr="00015B6D">
        <w:rPr>
          <w:rFonts w:ascii="Verdana" w:hAnsi="Verdana"/>
          <w:sz w:val="22"/>
          <w:szCs w:val="22"/>
        </w:rPr>
        <w:t xml:space="preserve">) el marco jurídico aplicable al </w:t>
      </w:r>
      <w:proofErr w:type="gramStart"/>
      <w:r w:rsidRPr="00015B6D">
        <w:rPr>
          <w:rFonts w:ascii="Verdana" w:hAnsi="Verdana"/>
          <w:sz w:val="22"/>
          <w:szCs w:val="22"/>
        </w:rPr>
        <w:t xml:space="preserve">tema; 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 w:rsidRPr="00015B6D">
        <w:rPr>
          <w:rFonts w:ascii="Verdana" w:hAnsi="Verdana"/>
          <w:sz w:val="22"/>
          <w:szCs w:val="22"/>
        </w:rPr>
        <w:t>iii</w:t>
      </w:r>
      <w:proofErr w:type="spellEnd"/>
      <w:proofErr w:type="gramEnd"/>
      <w:r w:rsidRPr="00015B6D">
        <w:rPr>
          <w:rFonts w:ascii="Verdana" w:hAnsi="Verdana"/>
          <w:sz w:val="22"/>
          <w:szCs w:val="22"/>
        </w:rPr>
        <w:t>) el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respectivo análisis jurídico, y finalmente; (</w:t>
      </w:r>
      <w:proofErr w:type="spellStart"/>
      <w:r w:rsidRPr="00015B6D">
        <w:rPr>
          <w:rFonts w:ascii="Verdana" w:hAnsi="Verdana"/>
          <w:sz w:val="22"/>
          <w:szCs w:val="22"/>
        </w:rPr>
        <w:t>iv</w:t>
      </w:r>
      <w:proofErr w:type="spellEnd"/>
      <w:r w:rsidRPr="00015B6D">
        <w:rPr>
          <w:rFonts w:ascii="Verdana" w:hAnsi="Verdana"/>
          <w:sz w:val="22"/>
          <w:szCs w:val="22"/>
        </w:rPr>
        <w:t>) se presentarán las respuestas a las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interrogantes planteadas.</w:t>
      </w:r>
    </w:p>
    <w:p w:rsidRPr="00015B6D" w:rsidR="00015B6D" w:rsidP="00015B6D" w:rsidRDefault="00015B6D" w14:paraId="201B9DF2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015B6D">
        <w:rPr>
          <w:rFonts w:ascii="Verdana" w:hAnsi="Verdana"/>
          <w:b/>
          <w:bCs/>
          <w:sz w:val="22"/>
          <w:szCs w:val="22"/>
        </w:rPr>
        <w:t>(i) Antecedentes</w:t>
      </w:r>
    </w:p>
    <w:p w:rsidRPr="00015B6D" w:rsidR="00015B6D" w:rsidP="00015B6D" w:rsidRDefault="00015B6D" w14:paraId="614CAD77" w14:textId="2D267498">
      <w:p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La Dirección del ICBF Regional Bogotá elevó, vía correo electrónico, solicitud de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concepto jurídico a la Oficina Asesora Jurídica, mediante memorando radicado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202434200000228683, en la que manifestó que, por mandato del numeral 4 del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artículo 6° del Decreto 987 de 2012, modificado por el 979 del 25 de junio de 2020,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en concordancia con la circular 2 de 2012, solicita se emita concepto jurídico en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relación con la expedición de certificaciones de deuda (títulos complejos) para cobro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de alimentos a favor del ICBF.</w:t>
      </w:r>
    </w:p>
    <w:p w:rsidRPr="00015B6D" w:rsidR="00015B6D" w:rsidP="00015B6D" w:rsidRDefault="00015B6D" w14:paraId="6B78F257" w14:textId="1CD7E56C">
      <w:p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En este contexto, enuncia apartes del concepto No. 11 del 29 de noviembre de 2022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emitido por la Oficina Asesora Jurídica en donde resalta la facultad que tiene el ICBF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para iniciar proceso de cobro coactivo frente a las obligaciones de alimentos fijados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a favor de la Entidad, previa constatación del incumplimiento del pago de la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obligación a cargo del alimentante del menor, para lo cual se requiere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necesariamente de la constitución de un título ejecutivo complejo que contenga una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obligación clara, expresa y actualmente exigible.</w:t>
      </w:r>
    </w:p>
    <w:p w:rsidRPr="00015B6D" w:rsidR="00015B6D" w:rsidP="00015B6D" w:rsidRDefault="00015B6D" w14:paraId="01A59A65" w14:textId="3EDFB8C2">
      <w:p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Asimismo, la Dirección del ICBF Regional Bogotá considera en su solicitud que los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procesos en los cuales el acto administrativo que fija alimentos haya superado el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término de cinco años a partir de su ejecutoria, no podrán ser cobrados por cuanto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ha operado la pérdida de fuerza ejecutoria y, en consecuencia, no será procedente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la expedición de la certificación de la deuda por parte del defensor de familia. De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igual forma, afirma que no podrán ser cobradas aquellas obligaciones cuando han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transcurrido más de cinco años del reintegro del menor a su medio familiar o, que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se haya definido su situación jurídica.</w:t>
      </w:r>
    </w:p>
    <w:p w:rsidRPr="00015B6D" w:rsidR="00015B6D" w:rsidP="00015B6D" w:rsidRDefault="00015B6D" w14:paraId="4920C039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015B6D">
        <w:rPr>
          <w:rFonts w:ascii="Verdana" w:hAnsi="Verdana"/>
          <w:b/>
          <w:bCs/>
          <w:sz w:val="22"/>
          <w:szCs w:val="22"/>
        </w:rPr>
        <w:lastRenderedPageBreak/>
        <w:t>(</w:t>
      </w:r>
      <w:proofErr w:type="spellStart"/>
      <w:r w:rsidRPr="00015B6D">
        <w:rPr>
          <w:rFonts w:ascii="Verdana" w:hAnsi="Verdana"/>
          <w:b/>
          <w:bCs/>
          <w:sz w:val="22"/>
          <w:szCs w:val="22"/>
        </w:rPr>
        <w:t>ii</w:t>
      </w:r>
      <w:proofErr w:type="spellEnd"/>
      <w:r w:rsidRPr="00015B6D">
        <w:rPr>
          <w:rFonts w:ascii="Verdana" w:hAnsi="Verdana"/>
          <w:b/>
          <w:bCs/>
          <w:sz w:val="22"/>
          <w:szCs w:val="22"/>
        </w:rPr>
        <w:t>) Marco jurídico aplicable al tema</w:t>
      </w:r>
    </w:p>
    <w:p w:rsidRPr="00015B6D" w:rsidR="00015B6D" w:rsidP="00015B6D" w:rsidRDefault="00015B6D" w14:paraId="087B3902" w14:textId="5F7FB570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Artículos 2°, 74 y 209 de la Constitución Política.</w:t>
      </w:r>
    </w:p>
    <w:p w:rsidRPr="00015B6D" w:rsidR="00015B6D" w:rsidP="00015B6D" w:rsidRDefault="00015B6D" w14:paraId="7A46A8B0" w14:textId="3BB3A81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Artículo 14 de la Ley 7ª de 1979.</w:t>
      </w:r>
    </w:p>
    <w:p w:rsidRPr="00015B6D" w:rsidR="00015B6D" w:rsidP="00015B6D" w:rsidRDefault="00015B6D" w14:paraId="03C2532A" w14:textId="3DEB6E5C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Artículos 8° y 27 del Decreto 2388 de 1979.</w:t>
      </w:r>
    </w:p>
    <w:p w:rsidRPr="00015B6D" w:rsidR="00015B6D" w:rsidP="00015B6D" w:rsidRDefault="00015B6D" w14:paraId="50FD2309" w14:textId="085463EC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Decreto Ley 624 de 1989 – Estatuto Tributario Nacional</w:t>
      </w:r>
    </w:p>
    <w:p w:rsidRPr="00015B6D" w:rsidR="00015B6D" w:rsidP="00015B6D" w:rsidRDefault="00015B6D" w14:paraId="1A35F3A1" w14:textId="4B936295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Ley 1066 del 29 de Julio de 2006</w:t>
      </w:r>
    </w:p>
    <w:p w:rsidRPr="00015B6D" w:rsidR="00015B6D" w:rsidP="00015B6D" w:rsidRDefault="00015B6D" w14:paraId="22D0156C" w14:textId="6529DDEF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Ley 1098 de 2006</w:t>
      </w:r>
    </w:p>
    <w:p w:rsidRPr="00015B6D" w:rsidR="00015B6D" w:rsidP="00015B6D" w:rsidRDefault="00015B6D" w14:paraId="23D290F9" w14:textId="0FC68E7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Ley 1437 de 2011 – CPACA.</w:t>
      </w:r>
    </w:p>
    <w:p w:rsidRPr="00015B6D" w:rsidR="00015B6D" w:rsidP="00015B6D" w:rsidRDefault="00015B6D" w14:paraId="601077E6" w14:textId="477DDA1E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Artículo 3° del Decreto 4156 de 2011.</w:t>
      </w:r>
    </w:p>
    <w:p w:rsidRPr="00015B6D" w:rsidR="00015B6D" w:rsidP="00015B6D" w:rsidRDefault="00015B6D" w14:paraId="72D48B6B" w14:textId="00BF65BC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Numeral 4° del artículo 6° del Decreto 987 de 2012.</w:t>
      </w:r>
    </w:p>
    <w:p w:rsidRPr="00015B6D" w:rsidR="00015B6D" w:rsidP="00015B6D" w:rsidRDefault="00015B6D" w14:paraId="6A64AECE" w14:textId="48C324F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  <w:lang w:val="pt-PT"/>
        </w:rPr>
        <w:t xml:space="preserve">Sentencia T-747 de 2013. Corte Constitucional. </w:t>
      </w:r>
      <w:r w:rsidRPr="00015B6D">
        <w:rPr>
          <w:rFonts w:ascii="Verdana" w:hAnsi="Verdana"/>
          <w:sz w:val="22"/>
          <w:szCs w:val="22"/>
        </w:rPr>
        <w:t>Sentencia con radicado. 44401-23-31-000-2007-00067-01(34201) del 31 de enero de 2008. Consejo de Estado. C.P: Myriam Stella Gutiérrez Arguello</w:t>
      </w:r>
    </w:p>
    <w:p w:rsidRPr="00015B6D" w:rsidR="00015B6D" w:rsidP="00015B6D" w:rsidRDefault="00015B6D" w14:paraId="33930A40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015B6D">
        <w:rPr>
          <w:rFonts w:ascii="Verdana" w:hAnsi="Verdana"/>
          <w:b/>
          <w:bCs/>
          <w:sz w:val="22"/>
          <w:szCs w:val="22"/>
        </w:rPr>
        <w:t>(</w:t>
      </w:r>
      <w:proofErr w:type="spellStart"/>
      <w:r w:rsidRPr="00015B6D">
        <w:rPr>
          <w:rFonts w:ascii="Verdana" w:hAnsi="Verdana"/>
          <w:b/>
          <w:bCs/>
          <w:sz w:val="22"/>
          <w:szCs w:val="22"/>
        </w:rPr>
        <w:t>iii</w:t>
      </w:r>
      <w:proofErr w:type="spellEnd"/>
      <w:r w:rsidRPr="00015B6D">
        <w:rPr>
          <w:rFonts w:ascii="Verdana" w:hAnsi="Verdana"/>
          <w:b/>
          <w:bCs/>
          <w:sz w:val="22"/>
          <w:szCs w:val="22"/>
        </w:rPr>
        <w:t>) Análisis jurídico</w:t>
      </w:r>
    </w:p>
    <w:p w:rsidRPr="00015B6D" w:rsidR="00015B6D" w:rsidP="00015B6D" w:rsidRDefault="00015B6D" w14:paraId="2AFD04EE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015B6D">
        <w:rPr>
          <w:rFonts w:ascii="Verdana" w:hAnsi="Verdana"/>
          <w:b/>
          <w:bCs/>
          <w:sz w:val="22"/>
          <w:szCs w:val="22"/>
        </w:rPr>
        <w:t>1. Naturaleza de los títulos ejecutivos complejos.</w:t>
      </w:r>
    </w:p>
    <w:p w:rsidRPr="00015B6D" w:rsidR="00015B6D" w:rsidP="00015B6D" w:rsidRDefault="00015B6D" w14:paraId="47B2E378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015B6D">
        <w:rPr>
          <w:rFonts w:ascii="Verdana" w:hAnsi="Verdana"/>
          <w:b/>
          <w:bCs/>
          <w:sz w:val="22"/>
          <w:szCs w:val="22"/>
        </w:rPr>
        <w:t>1.1 Título ejecutivo y su naturaleza.</w:t>
      </w:r>
    </w:p>
    <w:p w:rsidR="00015B6D" w:rsidP="00015B6D" w:rsidRDefault="00015B6D" w14:paraId="0EF2B3D1" w14:textId="0C0F5B49">
      <w:p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De acuerdo con lo establecido en el artículo 4222 del Código General del Proceso, un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título ejecutivo es un documento que contiene una obligación clara, expresa y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exigible. Sobre dichas características, la Sentencia T-747 de 20133 adujo que:</w:t>
      </w:r>
    </w:p>
    <w:p w:rsidR="00015B6D" w:rsidP="00015B6D" w:rsidRDefault="00015B6D" w14:paraId="2A63795A" w14:textId="371DB1A8">
      <w:pPr>
        <w:ind w:left="426"/>
        <w:jc w:val="both"/>
        <w:rPr>
          <w:rFonts w:ascii="Verdana" w:hAnsi="Verdana"/>
          <w:sz w:val="20"/>
          <w:szCs w:val="20"/>
        </w:rPr>
      </w:pPr>
      <w:r w:rsidRPr="00015B6D">
        <w:rPr>
          <w:rFonts w:ascii="Verdana" w:hAnsi="Verdana"/>
          <w:i/>
          <w:iCs/>
          <w:sz w:val="20"/>
          <w:szCs w:val="20"/>
        </w:rPr>
        <w:t xml:space="preserve">“Es clara la obligación que no da lugar a equívocos, en otras palabras, en la que están identificados el deudor, el acreedor, la naturaleza de la obligación y los factores que la determinan. Es expresa cuando de la redacción misma del documento, aparece nítida y manifiesta la obligación. Es exigible si su cumplimiento no está sujeto a un plazo o a una condición, dicho de otro modo, si se trata de una obligación pura y simple ya declarada”. </w:t>
      </w:r>
      <w:r w:rsidRPr="00015B6D">
        <w:rPr>
          <w:rFonts w:ascii="Verdana" w:hAnsi="Verdana"/>
          <w:sz w:val="20"/>
          <w:szCs w:val="20"/>
        </w:rPr>
        <w:t>Subrayado fuera de texto.</w:t>
      </w:r>
    </w:p>
    <w:p w:rsidRPr="00015B6D" w:rsidR="00015B6D" w:rsidP="00015B6D" w:rsidRDefault="00015B6D" w14:paraId="05006585" w14:textId="77777777">
      <w:pPr>
        <w:rPr>
          <w:rFonts w:ascii="Verdana" w:hAnsi="Verdana"/>
          <w:b/>
          <w:bCs/>
          <w:sz w:val="22"/>
          <w:szCs w:val="22"/>
        </w:rPr>
      </w:pPr>
      <w:r w:rsidRPr="00015B6D">
        <w:rPr>
          <w:rFonts w:ascii="Verdana" w:hAnsi="Verdana"/>
          <w:b/>
          <w:bCs/>
          <w:sz w:val="22"/>
          <w:szCs w:val="22"/>
        </w:rPr>
        <w:t>1.2 Tipos de títulos ejecutivos y sus características.</w:t>
      </w:r>
    </w:p>
    <w:p w:rsidRPr="00015B6D" w:rsidR="00015B6D" w:rsidP="00015B6D" w:rsidRDefault="00015B6D" w14:paraId="6880C7D7" w14:textId="1DCCE672">
      <w:p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La Corte Constitucional ha hecho referencia a dos tipos de títulos ejecutivos. (1)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“Título ejecutivo singular”</w:t>
      </w:r>
      <w:r w:rsidRPr="00015B6D">
        <w:rPr>
          <w:rFonts w:ascii="Verdana" w:hAnsi="Verdana"/>
          <w:sz w:val="22"/>
          <w:szCs w:val="22"/>
        </w:rPr>
        <w:t>, esto es, aquel que está contenido o constituido en un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 xml:space="preserve">solo documento y (2) </w:t>
      </w:r>
      <w:r w:rsidRPr="00015B6D">
        <w:rPr>
          <w:rFonts w:ascii="Verdana" w:hAnsi="Verdana"/>
          <w:i/>
          <w:iCs/>
          <w:sz w:val="22"/>
          <w:szCs w:val="22"/>
        </w:rPr>
        <w:t>“Título ejecutivo complejo</w:t>
      </w:r>
      <w:r w:rsidRPr="00015B6D">
        <w:rPr>
          <w:rFonts w:ascii="Verdana" w:hAnsi="Verdana"/>
          <w:sz w:val="22"/>
          <w:szCs w:val="22"/>
        </w:rPr>
        <w:t>”, es decir, “</w:t>
      </w:r>
      <w:r w:rsidRPr="00015B6D">
        <w:rPr>
          <w:rFonts w:ascii="Verdana" w:hAnsi="Verdana"/>
          <w:i/>
          <w:iCs/>
          <w:sz w:val="22"/>
          <w:szCs w:val="22"/>
        </w:rPr>
        <w:t>cuando la obligación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está contenida en varios documentos</w:t>
      </w:r>
      <w:r w:rsidRPr="00015B6D">
        <w:rPr>
          <w:rFonts w:ascii="Verdana" w:hAnsi="Verdana"/>
          <w:sz w:val="22"/>
          <w:szCs w:val="22"/>
        </w:rPr>
        <w:t>.”4. Asimismo, el Consejo de Estado ha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establecido en Sentencia del 31 de enero de 20085 como ejemplos de títulos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 xml:space="preserve">ejecutivos complejos </w:t>
      </w:r>
      <w:r w:rsidRPr="00015B6D">
        <w:rPr>
          <w:rFonts w:ascii="Verdana" w:hAnsi="Verdana"/>
          <w:i/>
          <w:iCs/>
          <w:sz w:val="22"/>
          <w:szCs w:val="22"/>
        </w:rPr>
        <w:t>“los derivados de un contrato”</w:t>
      </w:r>
      <w:r w:rsidRPr="00015B6D">
        <w:rPr>
          <w:rFonts w:ascii="Verdana" w:hAnsi="Verdana"/>
          <w:sz w:val="22"/>
          <w:szCs w:val="22"/>
        </w:rPr>
        <w:t>, dado que además de estar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conformados por el negocio jurídico, lo integran las actas de ejecución, las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constancias de cumplimiento y de recibo, la liquidación y/o demás documentos.</w:t>
      </w:r>
    </w:p>
    <w:p w:rsidRPr="00015B6D" w:rsidR="00015B6D" w:rsidP="00015B6D" w:rsidRDefault="00015B6D" w14:paraId="61C7B84A" w14:textId="0F4CF491">
      <w:p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 xml:space="preserve">Adicionalmente, en relación con las características del título ejecutivo </w:t>
      </w:r>
      <w:r>
        <w:rPr>
          <w:rFonts w:ascii="Verdana" w:hAnsi="Verdana"/>
          <w:sz w:val="22"/>
          <w:szCs w:val="22"/>
        </w:rPr>
        <w:t>c</w:t>
      </w:r>
      <w:r w:rsidRPr="00015B6D">
        <w:rPr>
          <w:rFonts w:ascii="Verdana" w:hAnsi="Verdana"/>
          <w:sz w:val="22"/>
          <w:szCs w:val="22"/>
        </w:rPr>
        <w:t>omplejo, la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jurisprudencia del Consejo de Estado ha expresado que debe cumplir con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condiciones básicas de forma y de sustancia como las siguientes:</w:t>
      </w:r>
    </w:p>
    <w:p w:rsidRPr="00015B6D" w:rsidR="00015B6D" w:rsidP="00015B6D" w:rsidRDefault="00015B6D" w14:paraId="093F41E4" w14:textId="08273A04">
      <w:pPr>
        <w:jc w:val="both"/>
        <w:rPr>
          <w:rFonts w:ascii="Verdana" w:hAnsi="Verdana"/>
          <w:i/>
          <w:iCs/>
          <w:sz w:val="22"/>
          <w:szCs w:val="22"/>
        </w:rPr>
      </w:pPr>
      <w:r w:rsidRPr="00015B6D">
        <w:rPr>
          <w:rFonts w:ascii="Verdana" w:hAnsi="Verdana"/>
          <w:i/>
          <w:iCs/>
          <w:sz w:val="22"/>
          <w:szCs w:val="22"/>
        </w:rPr>
        <w:lastRenderedPageBreak/>
        <w:t>“(i) las primeras se refieren a que los documentos en los que consta la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obligación deben ser auténticos y emanar del deudor o de su causante, por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ejemplo, de una decisión condenatoria proferida por un juez o un tribunal u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otra providencia judicial que tenga fuerza ejecutiva.</w:t>
      </w:r>
    </w:p>
    <w:p w:rsidRPr="00015B6D" w:rsidR="00015B6D" w:rsidP="00015B6D" w:rsidRDefault="00015B6D" w14:paraId="5D544928" w14:textId="68EDF471">
      <w:pPr>
        <w:jc w:val="both"/>
        <w:rPr>
          <w:rFonts w:ascii="Verdana" w:hAnsi="Verdana"/>
          <w:i/>
          <w:iCs/>
          <w:sz w:val="22"/>
          <w:szCs w:val="22"/>
        </w:rPr>
      </w:pPr>
      <w:r w:rsidRPr="00015B6D">
        <w:rPr>
          <w:rFonts w:ascii="Verdana" w:hAnsi="Verdana"/>
          <w:i/>
          <w:iCs/>
          <w:sz w:val="22"/>
          <w:szCs w:val="22"/>
        </w:rPr>
        <w:t>(</w:t>
      </w:r>
      <w:proofErr w:type="spellStart"/>
      <w:r w:rsidRPr="00015B6D">
        <w:rPr>
          <w:rFonts w:ascii="Verdana" w:hAnsi="Verdana"/>
          <w:i/>
          <w:iCs/>
          <w:sz w:val="22"/>
          <w:szCs w:val="22"/>
        </w:rPr>
        <w:t>ii</w:t>
      </w:r>
      <w:proofErr w:type="spellEnd"/>
      <w:r w:rsidRPr="00015B6D">
        <w:rPr>
          <w:rFonts w:ascii="Verdana" w:hAnsi="Verdana"/>
          <w:i/>
          <w:iCs/>
          <w:sz w:val="22"/>
          <w:szCs w:val="22"/>
        </w:rPr>
        <w:t>) las segundas se traducen en que las obligaciones a favor del ejecutante 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de su causante y a cargo del ejecutado o de su causante deben ser claras,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expresas y exigibles.”6</w:t>
      </w:r>
    </w:p>
    <w:p w:rsidR="00015B6D" w:rsidP="00015B6D" w:rsidRDefault="00015B6D" w14:paraId="21A8FCBC" w14:textId="3D5AF2F1">
      <w:p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sz w:val="22"/>
          <w:szCs w:val="22"/>
        </w:rPr>
        <w:t>El título ejecutivo proveniente del deudor o de su causante a favor del ICBF, con las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características enunciadas anteriormente, presta mérito ejecutivo; lo que permite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exigir su pago a través del proceso de cobro coactivo. El artículo 99 del Código de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Procedimiento Administrativo y de lo Contencioso Administrativo establece los</w:t>
      </w:r>
      <w:r>
        <w:rPr>
          <w:rFonts w:ascii="Verdana" w:hAnsi="Verdana"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siguientes:</w:t>
      </w:r>
    </w:p>
    <w:p w:rsidRPr="00015B6D" w:rsidR="00015B6D" w:rsidP="00015B6D" w:rsidRDefault="00015B6D" w14:paraId="005205C4" w14:textId="5871BE6D">
      <w:pPr>
        <w:jc w:val="both"/>
        <w:rPr>
          <w:rFonts w:ascii="Verdana" w:hAnsi="Verdana"/>
          <w:b/>
          <w:bCs/>
          <w:i/>
          <w:iCs/>
          <w:sz w:val="22"/>
          <w:szCs w:val="22"/>
        </w:rPr>
      </w:pPr>
      <w:r w:rsidRPr="00015B6D">
        <w:rPr>
          <w:rFonts w:ascii="Verdana" w:hAnsi="Verdana"/>
          <w:i/>
          <w:iCs/>
          <w:sz w:val="22"/>
          <w:szCs w:val="22"/>
        </w:rPr>
        <w:t>“</w:t>
      </w:r>
      <w:r w:rsidRPr="00015B6D">
        <w:rPr>
          <w:rFonts w:ascii="Verdana" w:hAnsi="Verdana"/>
          <w:b/>
          <w:bCs/>
          <w:i/>
          <w:iCs/>
          <w:sz w:val="22"/>
          <w:szCs w:val="22"/>
        </w:rPr>
        <w:t>Artículo 99. Documentos que prestan mérito ejecutivo a favor del</w:t>
      </w:r>
      <w:r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b/>
          <w:bCs/>
          <w:i/>
          <w:iCs/>
          <w:sz w:val="22"/>
          <w:szCs w:val="22"/>
        </w:rPr>
        <w:t>estado</w:t>
      </w:r>
    </w:p>
    <w:p w:rsidRPr="00015B6D" w:rsidR="00015B6D" w:rsidP="00015B6D" w:rsidRDefault="00015B6D" w14:paraId="3FE20B04" w14:textId="7AACA8A9">
      <w:pPr>
        <w:jc w:val="both"/>
        <w:rPr>
          <w:rFonts w:ascii="Verdana" w:hAnsi="Verdana"/>
          <w:i/>
          <w:iCs/>
          <w:sz w:val="22"/>
          <w:szCs w:val="22"/>
        </w:rPr>
      </w:pPr>
      <w:r w:rsidRPr="00015B6D">
        <w:rPr>
          <w:rFonts w:ascii="Verdana" w:hAnsi="Verdana"/>
          <w:i/>
          <w:iCs/>
          <w:sz w:val="22"/>
          <w:szCs w:val="22"/>
        </w:rPr>
        <w:t>Prestarán mérito ejecutivo para su cobro coactivo, siempre que en ellos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conste una obligación clara, expresa y exigible, los siguientes documentos:</w:t>
      </w:r>
    </w:p>
    <w:p w:rsidRPr="00015B6D" w:rsidR="00015B6D" w:rsidP="00015B6D" w:rsidRDefault="00015B6D" w14:paraId="52D92E96" w14:textId="22AF8AE9">
      <w:pPr>
        <w:jc w:val="both"/>
        <w:rPr>
          <w:rFonts w:ascii="Verdana" w:hAnsi="Verdana"/>
          <w:i/>
          <w:iCs/>
          <w:sz w:val="22"/>
          <w:szCs w:val="22"/>
        </w:rPr>
      </w:pPr>
      <w:r w:rsidRPr="00015B6D">
        <w:rPr>
          <w:rFonts w:ascii="Verdana" w:hAnsi="Verdana"/>
          <w:i/>
          <w:iCs/>
          <w:sz w:val="22"/>
          <w:szCs w:val="22"/>
        </w:rPr>
        <w:t>1. Todo acto administrativo ejecutoriado que imponga a favor de las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entidades públicas a las que alude el parágrafo del artículo 104, la obligación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de pagar una suma líquida de dinero, en los casos previstos en la ley.</w:t>
      </w:r>
    </w:p>
    <w:p w:rsidRPr="00015B6D" w:rsidR="00015B6D" w:rsidP="00015B6D" w:rsidRDefault="00015B6D" w14:paraId="12E0DC3E" w14:textId="6A3546B4">
      <w:pPr>
        <w:jc w:val="both"/>
        <w:rPr>
          <w:rFonts w:ascii="Verdana" w:hAnsi="Verdana"/>
          <w:i/>
          <w:iCs/>
          <w:sz w:val="22"/>
          <w:szCs w:val="22"/>
        </w:rPr>
      </w:pPr>
      <w:r w:rsidRPr="00015B6D">
        <w:rPr>
          <w:rFonts w:ascii="Verdana" w:hAnsi="Verdana"/>
          <w:i/>
          <w:iCs/>
          <w:sz w:val="22"/>
          <w:szCs w:val="22"/>
        </w:rPr>
        <w:t>2. Las sentencias y demás decisiones jurisdiccionales ejecutoriadas que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impongan a favor del tesoro nacional, o de las entidades públicas a las que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alude el parágrafo del artículo 104, la obligación de pagar una suma líquida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de dinero.</w:t>
      </w:r>
    </w:p>
    <w:p w:rsidRPr="00015B6D" w:rsidR="00015B6D" w:rsidP="00015B6D" w:rsidRDefault="00015B6D" w14:paraId="7D8808C0" w14:textId="50FB48FD">
      <w:pPr>
        <w:jc w:val="both"/>
        <w:rPr>
          <w:rFonts w:ascii="Verdana" w:hAnsi="Verdana"/>
          <w:i/>
          <w:iCs/>
          <w:sz w:val="22"/>
          <w:szCs w:val="22"/>
        </w:rPr>
      </w:pPr>
      <w:r w:rsidRPr="00015B6D">
        <w:rPr>
          <w:rFonts w:ascii="Verdana" w:hAnsi="Verdana"/>
          <w:i/>
          <w:iCs/>
          <w:sz w:val="22"/>
          <w:szCs w:val="22"/>
        </w:rPr>
        <w:t>3. Los contratos o los documentos en que constan sus garantías, junto con 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acto administrativo que declara el incumplimiento o la caducidad. Igualmente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lo serán el acta de liquidación del contrato o cualquier acto administrativo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proferido con ocasión de la actividad contractual.</w:t>
      </w:r>
    </w:p>
    <w:p w:rsidRPr="00015B6D" w:rsidR="00015B6D" w:rsidP="00015B6D" w:rsidRDefault="00015B6D" w14:paraId="0729EA7C" w14:textId="4B5110BF">
      <w:pPr>
        <w:jc w:val="both"/>
        <w:rPr>
          <w:rFonts w:ascii="Verdana" w:hAnsi="Verdana"/>
          <w:i/>
          <w:iCs/>
          <w:sz w:val="22"/>
          <w:szCs w:val="22"/>
        </w:rPr>
      </w:pPr>
      <w:r w:rsidRPr="00015B6D">
        <w:rPr>
          <w:rFonts w:ascii="Verdana" w:hAnsi="Verdana"/>
          <w:i/>
          <w:iCs/>
          <w:sz w:val="22"/>
          <w:szCs w:val="22"/>
        </w:rPr>
        <w:t xml:space="preserve">4. Las demás garantías </w:t>
      </w:r>
      <w:proofErr w:type="gramStart"/>
      <w:r w:rsidRPr="00015B6D">
        <w:rPr>
          <w:rFonts w:ascii="Verdana" w:hAnsi="Verdana"/>
          <w:i/>
          <w:iCs/>
          <w:sz w:val="22"/>
          <w:szCs w:val="22"/>
        </w:rPr>
        <w:t>que</w:t>
      </w:r>
      <w:proofErr w:type="gramEnd"/>
      <w:r w:rsidRPr="00015B6D">
        <w:rPr>
          <w:rFonts w:ascii="Verdana" w:hAnsi="Verdana"/>
          <w:i/>
          <w:iCs/>
          <w:sz w:val="22"/>
          <w:szCs w:val="22"/>
        </w:rPr>
        <w:t xml:space="preserve"> a favor de las entidades públicas, antes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indicadas, se presten por cualquier concepto, las cuales se integrarán con el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i/>
          <w:iCs/>
          <w:sz w:val="22"/>
          <w:szCs w:val="22"/>
        </w:rPr>
        <w:t>acto administrativo ejecutoriado que declare la obligación.</w:t>
      </w:r>
    </w:p>
    <w:p w:rsidR="00015B6D" w:rsidP="00015B6D" w:rsidRDefault="00015B6D" w14:paraId="1FFD86DD" w14:textId="0DB17AD0">
      <w:pPr>
        <w:jc w:val="both"/>
        <w:rPr>
          <w:rFonts w:ascii="Verdana" w:hAnsi="Verdana"/>
          <w:sz w:val="22"/>
          <w:szCs w:val="22"/>
        </w:rPr>
      </w:pPr>
      <w:r w:rsidRPr="00015B6D">
        <w:rPr>
          <w:rFonts w:ascii="Verdana" w:hAnsi="Verdana"/>
          <w:i/>
          <w:iCs/>
          <w:sz w:val="22"/>
          <w:szCs w:val="22"/>
        </w:rPr>
        <w:t>5. Las demás que consten en documentos que provengan del deudor.”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015B6D">
        <w:rPr>
          <w:rFonts w:ascii="Verdana" w:hAnsi="Verdana"/>
          <w:sz w:val="22"/>
          <w:szCs w:val="22"/>
        </w:rPr>
        <w:t>(Subrayas por fuera del texto original)</w:t>
      </w:r>
    </w:p>
    <w:p w:rsidRPr="00825B10" w:rsidR="00825B10" w:rsidP="00825B10" w:rsidRDefault="00825B10" w14:paraId="139C76C0" w14:textId="77777777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Requisitos para la constitución del título ejecutivo.</w:t>
      </w:r>
    </w:p>
    <w:p w:rsidRPr="00825B10" w:rsidR="00825B10" w:rsidP="00825B10" w:rsidRDefault="00825B10" w14:paraId="4036A3B1" w14:textId="27193822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Todo título ejecutivo contiene una obligación, y el artículo 422 del Código General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del Proceso exige que esa obligación debe ser clara, expresa y exigible, obligación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que debe provenir del deudor.</w:t>
      </w:r>
    </w:p>
    <w:p w:rsidR="00825B10" w:rsidP="00825B10" w:rsidRDefault="00825B10" w14:paraId="528B78A9" w14:textId="308AEF6D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lastRenderedPageBreak/>
        <w:t>Así es que el titulo ejecutivo debe cumplir dos condiciones, una formal y una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sustancial:</w:t>
      </w:r>
    </w:p>
    <w:p w:rsidRPr="00825B10" w:rsidR="00825B10" w:rsidP="00825B10" w:rsidRDefault="00825B10" w14:paraId="6AE38E23" w14:textId="520FDA3F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El título ejecutivo debe contener una obligación dineraria a cargo del deudor y a favor del ICBF.</w:t>
      </w:r>
    </w:p>
    <w:p w:rsidRPr="00825B10" w:rsidR="00825B10" w:rsidP="00825B10" w:rsidRDefault="00825B10" w14:paraId="4A477309" w14:textId="0B990C2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El deudor debe estar plenamente identificado, especialmente en los casos en los que mediante acto administrativo se le impone una obligación y en los documentos que provengan de él.</w:t>
      </w:r>
    </w:p>
    <w:p w:rsidRPr="00825B10" w:rsidR="00825B10" w:rsidP="00825B10" w:rsidRDefault="00825B10" w14:paraId="59A449BB" w14:textId="4C1C2481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La obligación contenida en el título ejecutivo debe ser expresa, es decir que en su redacción es manifiesta y explícita su existencia, no da lugar a elucubraciones o interpretaciones diferentes.</w:t>
      </w:r>
    </w:p>
    <w:p w:rsidRPr="00825B10" w:rsidR="00825B10" w:rsidP="00825B10" w:rsidRDefault="00825B10" w14:paraId="7A49F9AC" w14:textId="049BAFA1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La obligación debe ser clara, es decir que debe haber certeza del deudor y de la naturaleza de la obligación, de tal modo que permita determinarla fácil y en un único sentido.</w:t>
      </w:r>
    </w:p>
    <w:p w:rsidRPr="00825B10" w:rsidR="00825B10" w:rsidP="00825B10" w:rsidRDefault="00825B10" w14:paraId="2059EE65" w14:textId="58D2CDF9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La obligación debe ser exigible, es decir que su cumplimiento no está sujeto a plazo o condición o cuando el plazo y la ejecución ya se ha cumplido.</w:t>
      </w:r>
    </w:p>
    <w:p w:rsidRPr="00825B10" w:rsidR="00825B10" w:rsidP="00825B10" w:rsidRDefault="00825B10" w14:paraId="226A74C6" w14:textId="76C15DFD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De conformidad con el artículo 87 del Código de Procedimiento Administrativo y de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lo Contencioso Administrativo, se entiende que los actos administrativos se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encuentran ejecutoriados y por tanto la obligación es exigible cuando:</w:t>
      </w:r>
    </w:p>
    <w:p w:rsidRPr="00825B10" w:rsidR="00825B10" w:rsidP="00825B10" w:rsidRDefault="00825B10" w14:paraId="6FB99D16" w14:textId="6841E83A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Contra ellos no proceda ningún recurso, desde el día siguiente al de su notificación, comunicación o publicación según el caso.</w:t>
      </w:r>
    </w:p>
    <w:p w:rsidRPr="00825B10" w:rsidR="00825B10" w:rsidP="00825B10" w:rsidRDefault="00825B10" w14:paraId="3BBFE105" w14:textId="3F4DBC5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Desde el día siguiente a la publicación, comunicación o notificación de la decisión sobre los recursos interpuestos.</w:t>
      </w:r>
    </w:p>
    <w:p w:rsidRPr="00825B10" w:rsidR="00825B10" w:rsidP="00825B10" w:rsidRDefault="00825B10" w14:paraId="6C405574" w14:textId="16D6B75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Desde el día siguiente al del vencimiento del término para interponer los recursos, si estos no fueron interpuestos, o se hubiere renunciado expresamente a ellos.</w:t>
      </w:r>
    </w:p>
    <w:p w:rsidRPr="00825B10" w:rsidR="00825B10" w:rsidP="00825B10" w:rsidRDefault="00825B10" w14:paraId="5C3903A6" w14:textId="3B62F1C3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Desde el día siguiente al de la notificación de la aceptación del desistimiento de los recursos.</w:t>
      </w:r>
    </w:p>
    <w:p w:rsidRPr="00825B10" w:rsidR="00825B10" w:rsidP="00825B10" w:rsidRDefault="00825B10" w14:paraId="532B92C3" w14:textId="239404FA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Desde el día siguiente al de la protocolización a que alude el artículo 85 para el silencio administrativo positivo.</w:t>
      </w:r>
    </w:p>
    <w:p w:rsidRPr="00825B10" w:rsidR="00825B10" w:rsidP="00825B10" w:rsidRDefault="00825B10" w14:paraId="174840F0" w14:textId="69C9E92F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La Resolución 5003 del 17 de septiembre de 2020, a través de la cual se adoptó el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Reglamento Interno de Cartera en el ICBF, en su artículo 5° establece, entre otras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 xml:space="preserve">cosas, que </w:t>
      </w:r>
      <w:r w:rsidRPr="00825B10">
        <w:rPr>
          <w:rFonts w:ascii="Verdana" w:hAnsi="Verdana"/>
          <w:i/>
          <w:iCs/>
          <w:sz w:val="22"/>
          <w:szCs w:val="22"/>
        </w:rPr>
        <w:t xml:space="preserve">“En tratándose de títulos ejecutivos complejos, es decir, de </w:t>
      </w:r>
      <w:r w:rsidRPr="00825B10">
        <w:rPr>
          <w:rFonts w:ascii="Verdana" w:hAnsi="Verdana"/>
          <w:sz w:val="22"/>
          <w:szCs w:val="22"/>
        </w:rPr>
        <w:t xml:space="preserve">aquellos que </w:t>
      </w:r>
      <w:r w:rsidRPr="00825B10">
        <w:rPr>
          <w:rFonts w:ascii="Verdana" w:hAnsi="Verdana"/>
          <w:i/>
          <w:iCs/>
          <w:sz w:val="22"/>
          <w:szCs w:val="22"/>
        </w:rPr>
        <w:t>se encuentran conformados por varios documentos, estos se deberán acompañar</w:t>
      </w:r>
      <w:r>
        <w:rPr>
          <w:rFonts w:ascii="Verdana" w:hAnsi="Verdana"/>
          <w:i/>
          <w:iCs/>
          <w:sz w:val="22"/>
          <w:szCs w:val="22"/>
        </w:rPr>
        <w:t xml:space="preserve"> </w:t>
      </w:r>
      <w:r w:rsidRPr="00825B10">
        <w:rPr>
          <w:rFonts w:ascii="Verdana" w:hAnsi="Verdana"/>
          <w:i/>
          <w:iCs/>
          <w:sz w:val="22"/>
          <w:szCs w:val="22"/>
        </w:rPr>
        <w:t>para dar cuenta de la existencia de una obligación clara, expresa y exigible”</w:t>
      </w:r>
      <w:r w:rsidRPr="00825B10">
        <w:rPr>
          <w:rFonts w:ascii="Verdana" w:hAnsi="Verdana"/>
          <w:sz w:val="22"/>
          <w:szCs w:val="22"/>
        </w:rPr>
        <w:t>.</w:t>
      </w:r>
    </w:p>
    <w:p w:rsidRPr="00825B10" w:rsidR="00825B10" w:rsidP="00825B10" w:rsidRDefault="00825B10" w14:paraId="5D29A038" w14:textId="67637B1F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En concepto No. 11 del 29 de noviembre de 2022 emitido por la Oficina Asesora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Jurídica se indicó, en primer lugar, que las cuotas alimentarias ordenadas por los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defensores de familia son recursos del ICBF y, por tal motivo, la Entidad se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lastRenderedPageBreak/>
        <w:t>encuentra facultada para hacer efectivo su recaudo a través del proceso de cobro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coactivo.</w:t>
      </w:r>
    </w:p>
    <w:p w:rsidRPr="00825B10" w:rsidR="00825B10" w:rsidP="00825B10" w:rsidRDefault="00825B10" w14:paraId="715507C1" w14:textId="1F756C84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En segundo Lugar, en relación con el cobro coactivo derivado de estas obligaciones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se precisa contar con el título ejecutivo complejo, el cual debe estar conformado por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el acto administrativo que fija la cuota alimentaria a favor del menor y la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certificación expedida por el defensor de familia en donde se establezca el valor de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los alimentos adeudados con fundamento en los meses que estuvo el menor en el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hogar sustituto de bienestar.</w:t>
      </w:r>
    </w:p>
    <w:p w:rsidRPr="00825B10" w:rsidR="00825B10" w:rsidP="00825B10" w:rsidRDefault="00825B10" w14:paraId="0654AC38" w14:textId="2D8BDA3C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En tercer lugar, estableció que la certificación expedida por el defensor de familia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debe contener el valor de las cuotas alimentarias causadas y que no hayan sido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pagadas por el alimentante del menor, que se haya cumplido el término establecido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en la medida de protección en el hogar sustituto o, que haya finalizado el término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de la prórroga concedida.</w:t>
      </w:r>
    </w:p>
    <w:p w:rsidRPr="00825B10" w:rsidR="00825B10" w:rsidP="00825B10" w:rsidRDefault="00825B10" w14:paraId="015DE4D6" w14:textId="24AEF7D9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Por último, se destacó la importancia de que solo hasta finalizar el plazo dispuesto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en la medida de protección se podrá conocer el saldo adeudado y, con ello se tendrá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certeza del valor causado sin perjuicio de la continuación del menor bajo la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modalidad, para lo cual el defensor de familia tendrá que emitir el respectivo título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ejecutivo complejo con los valores causados para hacer efectivo su recaudo.</w:t>
      </w:r>
    </w:p>
    <w:p w:rsidRPr="00825B10" w:rsidR="00825B10" w:rsidP="00825B10" w:rsidRDefault="00825B10" w14:paraId="031C4318" w14:textId="10806430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En conclusión, para hacer efectivo el cobro de las obligaciones derivadas las cuotas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alimentarias ordenadas por los defensores de familia se requiere el acto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administrativo que fija la cuota alimentaria a favor del menor y la certificación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expedida por el defensor de familia, actos administrativos que constituyen el título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ejecutivo que faculta al funcionario ejecutor del ICBF para el inicio del proceso en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sede de cobro coactivo.</w:t>
      </w:r>
    </w:p>
    <w:p w:rsidRPr="00825B10" w:rsidR="00825B10" w:rsidP="00825B10" w:rsidRDefault="00825B10" w14:paraId="6E46ABF5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825B10">
        <w:rPr>
          <w:rFonts w:ascii="Verdana" w:hAnsi="Verdana"/>
          <w:b/>
          <w:bCs/>
          <w:sz w:val="22"/>
          <w:szCs w:val="22"/>
        </w:rPr>
        <w:t>2. Del proceso de cobro coactivo.</w:t>
      </w:r>
    </w:p>
    <w:p w:rsidR="00825B10" w:rsidP="00825B10" w:rsidRDefault="00825B10" w14:paraId="495FDE30" w14:textId="4689AB87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En lo que se refiere al cobro de las obligaciones a cargo del Instituto Colombiano de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Bienestar Familiar - ICBF, el artículo 5° de la Ley 1066 del 29 de Julio de 2006,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establece que las entidades públicas que tengan que recaudar rentas o caudales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públicos, deberán seguir el procedimiento descrito en el Estatuto Tributario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Nacional.</w:t>
      </w:r>
    </w:p>
    <w:p w:rsidRPr="00825B10" w:rsidR="00825B10" w:rsidP="00825B10" w:rsidRDefault="00825B10" w14:paraId="5A75CDAC" w14:textId="06410A6E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Al respecto, el artículo 817 del Estatuto Tributario Nacional señala que la acción de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cobro prescribe en el término de cinco (5) años, contados a partir de la fecha de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ejecutoria del respectivo activo administrativo de determinación o discusión. Por tal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motivo, una vez queda en firme el acto administrativo simple o complejo mediante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el cual se constituye una obligación a favor de la entidad, se tendrá el término de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cinco (5) años para que el funcionario ejecutor realice la cobranza respectiva.</w:t>
      </w:r>
    </w:p>
    <w:p w:rsidRPr="00825B10" w:rsidR="00825B10" w:rsidP="00825B10" w:rsidRDefault="00825B10" w14:paraId="23C35100" w14:textId="0E554669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lastRenderedPageBreak/>
        <w:t>El término de la prescripción de la acción de cobro se interrumpe con la notificación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del mandamiento de pago, el otorgamiento de una facilidad de pago y demás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situaciones descritas en el artículo 818 del Estatuto Tributario Nacional. Una vez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Interrumpida la prescripción en la forma prevista, correrá nuevamente el término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por cinco (5) años a partir del día siguiente a la notificación.</w:t>
      </w:r>
    </w:p>
    <w:p w:rsidRPr="00825B10" w:rsidR="00825B10" w:rsidP="00825B10" w:rsidRDefault="00825B10" w14:paraId="66351F82" w14:textId="476E3550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En ese sentido, la Entidad cuenta con el término perentorio de cinco (5) años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contados a partir de la ejecutoria del título ejecutivo complejo, conformado por el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acto administrativo que fija la cuota alimentaria a favor del menor y la certificación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expedida por el defensor de familia con los requisitos previamente establecidos por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la Oficina Asesora Jurídica, para expedir y notificar el mandamiento de pago,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evitando con ello el acaecimiento del fenómeno de la prescripción de la acción de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cobro.</w:t>
      </w:r>
    </w:p>
    <w:p w:rsidRPr="00825B10" w:rsidR="00825B10" w:rsidP="00825B10" w:rsidRDefault="00825B10" w14:paraId="1F06ACAC" w14:textId="77777777">
      <w:pPr>
        <w:jc w:val="both"/>
        <w:rPr>
          <w:rFonts w:ascii="Verdana" w:hAnsi="Verdana"/>
          <w:b/>
          <w:bCs/>
          <w:sz w:val="22"/>
          <w:szCs w:val="22"/>
        </w:rPr>
      </w:pPr>
      <w:r w:rsidRPr="00825B10">
        <w:rPr>
          <w:rFonts w:ascii="Verdana" w:hAnsi="Verdana"/>
          <w:b/>
          <w:bCs/>
          <w:sz w:val="22"/>
          <w:szCs w:val="22"/>
        </w:rPr>
        <w:t>(</w:t>
      </w:r>
      <w:proofErr w:type="spellStart"/>
      <w:r w:rsidRPr="00825B10">
        <w:rPr>
          <w:rFonts w:ascii="Verdana" w:hAnsi="Verdana"/>
          <w:b/>
          <w:bCs/>
          <w:sz w:val="22"/>
          <w:szCs w:val="22"/>
        </w:rPr>
        <w:t>iv</w:t>
      </w:r>
      <w:proofErr w:type="spellEnd"/>
      <w:r w:rsidRPr="00825B10">
        <w:rPr>
          <w:rFonts w:ascii="Verdana" w:hAnsi="Verdana"/>
          <w:b/>
          <w:bCs/>
          <w:sz w:val="22"/>
          <w:szCs w:val="22"/>
        </w:rPr>
        <w:t>) Respuesta a las preguntas formuladas</w:t>
      </w:r>
    </w:p>
    <w:p w:rsidRPr="00825B10" w:rsidR="00825B10" w:rsidP="00825B10" w:rsidRDefault="00825B10" w14:paraId="4F993F27" w14:textId="1E7FA32A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A continuación, se brinda repuesta a las interrogantes planteadas por el Grupo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Jurídico de la Dirección Regional Bogotá, en los siguientes términos:</w:t>
      </w:r>
    </w:p>
    <w:p w:rsidRPr="00825B10" w:rsidR="00825B10" w:rsidP="00825B10" w:rsidRDefault="00825B10" w14:paraId="53251C61" w14:textId="503014F7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1. ¿El título complejo (certificación expedida por el defensor de familia), puede ser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expedido, cuando el acto administrativo que fijó los alimentos ha perdido fuerza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ejecutoria? Es decir, cuando hayan transcurrido más de cinco años desde su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expedición y ejecutoria.</w:t>
      </w:r>
    </w:p>
    <w:p w:rsidR="00825B10" w:rsidP="00825B10" w:rsidRDefault="00825B10" w14:paraId="7C0239EE" w14:textId="6281401B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Teniendo en cuenta la necesidad de recaudar eficazmente los recursos económicos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(patrimonio público) que legalmente le corresponden y que son indispensables para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el funcionamiento y la realización de los fines de nuestra Entidad, los cuales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deberán ser originados para el caso en particular a través de la constitución de</w:t>
      </w:r>
      <w:r>
        <w:rPr>
          <w:rFonts w:ascii="Verdana" w:hAnsi="Verdana"/>
          <w:sz w:val="22"/>
          <w:szCs w:val="22"/>
        </w:rPr>
        <w:t xml:space="preserve">l </w:t>
      </w:r>
      <w:r w:rsidRPr="00825B10">
        <w:rPr>
          <w:rFonts w:ascii="Verdana" w:hAnsi="Verdana"/>
          <w:sz w:val="22"/>
          <w:szCs w:val="22"/>
        </w:rPr>
        <w:t>título ejecutivo complejo, es indispensable la certificación expedida por el defensor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de familia, por cuanto, únicamente hasta finalizar el término dispuesto para la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medida de protección del menor de edad se podrá tener certeza sobre el saldo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adeudado y el respectivo valor causado durante el tiempo exacto de permanencia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en el hogar sustituto o medio institucional.</w:t>
      </w:r>
    </w:p>
    <w:p w:rsidRPr="00825B10" w:rsidR="00825B10" w:rsidP="00825B10" w:rsidRDefault="00825B10" w14:paraId="2B5BF6A8" w14:textId="4F10CCA0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Por lo anterior, el defensor de familia a cargo de cada uno de los procesos que no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 xml:space="preserve">cuentan con la respectiva certificación del valor </w:t>
      </w:r>
      <w:proofErr w:type="gramStart"/>
      <w:r w:rsidRPr="00825B10">
        <w:rPr>
          <w:rFonts w:ascii="Verdana" w:hAnsi="Verdana"/>
          <w:sz w:val="22"/>
          <w:szCs w:val="22"/>
        </w:rPr>
        <w:t>adeudado,</w:t>
      </w:r>
      <w:proofErr w:type="gramEnd"/>
      <w:r w:rsidRPr="00825B10">
        <w:rPr>
          <w:rFonts w:ascii="Verdana" w:hAnsi="Verdana"/>
          <w:sz w:val="22"/>
          <w:szCs w:val="22"/>
        </w:rPr>
        <w:t xml:space="preserve"> deberá proceder con su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emisión.</w:t>
      </w:r>
    </w:p>
    <w:p w:rsidRPr="00825B10" w:rsidR="00825B10" w:rsidP="00825B10" w:rsidRDefault="00825B10" w14:paraId="5B65E73C" w14:textId="74016C88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Ahora bien, indistintamente de que el defensor de familia expida la certificación del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valor adeudado dentro de los 5 años siguientes a la fecha de la resolución de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vulneración de derechos que fijó la cuota de alimentos, no se configura la perdida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de fuerza ejecutoria del título ejecutivo complejo; toda vez que, hasta que no se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expida la certificación, no se cumple el requisito de ser un título ejecutivo, claro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expreso y exigible a que hace referencia la norma y la jurisprudencia, en el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entendido que se desconoce el valor exacto de la deuda.</w:t>
      </w:r>
    </w:p>
    <w:p w:rsidRPr="00825B10" w:rsidR="00825B10" w:rsidP="00825B10" w:rsidRDefault="00825B10" w14:paraId="3DA0C762" w14:textId="00965FBA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lastRenderedPageBreak/>
        <w:t>2. ¿El título complejo (certificación expedida por el defensor de familia), puede ser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expedido, cuando han transcurrido más de cinco (5) años del reintegro del menor 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su medio familiar o definición de su situación jurídica?</w:t>
      </w:r>
    </w:p>
    <w:p w:rsidRPr="00825B10" w:rsidR="00825B10" w:rsidP="00825B10" w:rsidRDefault="00825B10" w14:paraId="4179154D" w14:textId="3AA41A40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Se reitera que, solo hasta finalizar el plazo dispuesto en la medida de protección se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podrá conocer el saldo adeudado y con ello se tendrá certeza del valor causado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durante el lapso en que estuvo el menor de edad en el hogar sustituto o, en una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modalidad residencial; de ahí la importancia de la expedición de la certificación por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parte del defensor de familia en un término razonable, prudencial y oportuno.</w:t>
      </w:r>
    </w:p>
    <w:p w:rsidRPr="00825B10" w:rsidR="00825B10" w:rsidP="00825B10" w:rsidRDefault="00825B10" w14:paraId="2BBF5C24" w14:textId="2A17A8DC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No obstante, en el evento en que se logre determinar en algún otro documento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obrante en el expediente, la fecha exacta del reintegro del menor de edad a su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medio familiar o la definición de su situación jurídica o en el misma certificación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expedida por el defensor de familia se constate que desde el reintegro del menor 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la fecha de expedición de dicha certificación han transcurrido más de 5 años, se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tendrá que analizar con detenimiento lo dispuesto en el numeral 3° del artículo 91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del Código de Procedimiento Administrativo y de lo Contencioso Administrativo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relacionado con la perdida de fuerza ejecutoria.</w:t>
      </w:r>
    </w:p>
    <w:p w:rsidRPr="00825B10" w:rsidR="00825B10" w:rsidP="00825B10" w:rsidRDefault="00825B10" w14:paraId="40CBDB4B" w14:textId="333138CC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El presente documento tiene naturaleza de concepto jurídico y constituye un criterio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auxiliar de interpretación de conformidad con lo establecido en los artículos 26 del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Código Civil y 28 del Código de Procedimiento Administrativo y de lo Contencioso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Administrativo, sustituido por el artículo 1° de la Ley 1755 de 2015. No obstante lo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anterior, tiene carácter vinculante para las dependencias internas del Instituto y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terceros que colaboren en la prestación del servicio público de bienestar, o en el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desarrollo de la función administrativa de competencia del ICBF, en virtud de la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función asignada a la Oficina Asesora Jurídica de mantener la unidad doctrinaria e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impartir las directrices jurídicas necesarias para el desarrollo de las funciones del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Instituto, de conformidad con los numerales 8° y 15 del artículo 6° del Decreto 987</w:t>
      </w:r>
      <w:r>
        <w:rPr>
          <w:rFonts w:ascii="Verdana" w:hAnsi="Verdana"/>
          <w:sz w:val="22"/>
          <w:szCs w:val="22"/>
        </w:rPr>
        <w:t xml:space="preserve"> </w:t>
      </w:r>
      <w:r w:rsidRPr="00825B10">
        <w:rPr>
          <w:rFonts w:ascii="Verdana" w:hAnsi="Verdana"/>
          <w:sz w:val="22"/>
          <w:szCs w:val="22"/>
        </w:rPr>
        <w:t>de 2012.</w:t>
      </w:r>
    </w:p>
    <w:p w:rsidR="00825B10" w:rsidP="00825B10" w:rsidRDefault="00825B10" w14:paraId="76723DEE" w14:textId="67A8A6AF">
      <w:pPr>
        <w:jc w:val="both"/>
        <w:rPr>
          <w:rFonts w:ascii="Verdana" w:hAnsi="Verdana"/>
          <w:sz w:val="22"/>
          <w:szCs w:val="22"/>
        </w:rPr>
      </w:pPr>
      <w:r w:rsidRPr="00825B10">
        <w:rPr>
          <w:rFonts w:ascii="Verdana" w:hAnsi="Verdana"/>
          <w:sz w:val="22"/>
          <w:szCs w:val="22"/>
        </w:rPr>
        <w:t>Atentamente,</w:t>
      </w:r>
    </w:p>
    <w:p w:rsidR="00825B10" w:rsidP="00825B10" w:rsidRDefault="00825B10" w14:paraId="3B660EFF" w14:textId="77777777">
      <w:pPr>
        <w:jc w:val="both"/>
        <w:rPr>
          <w:rFonts w:ascii="Verdana" w:hAnsi="Verdana"/>
          <w:sz w:val="22"/>
          <w:szCs w:val="22"/>
        </w:rPr>
      </w:pPr>
    </w:p>
    <w:p w:rsidRPr="00825B10" w:rsidR="00825B10" w:rsidP="00825B10" w:rsidRDefault="00825B10" w14:paraId="7E2CC2DF" w14:textId="5F0A24F3">
      <w:pPr>
        <w:jc w:val="center"/>
        <w:rPr>
          <w:rFonts w:ascii="Verdana" w:hAnsi="Verdana"/>
          <w:b/>
          <w:bCs/>
          <w:sz w:val="22"/>
          <w:szCs w:val="22"/>
        </w:rPr>
      </w:pPr>
      <w:r w:rsidRPr="00825B10">
        <w:rPr>
          <w:rFonts w:ascii="Verdana" w:hAnsi="Verdana"/>
          <w:b/>
          <w:bCs/>
          <w:sz w:val="22"/>
          <w:szCs w:val="22"/>
        </w:rPr>
        <w:t>LEONARDO ALFONSO PÉREZ MEDINA</w:t>
      </w:r>
    </w:p>
    <w:p w:rsidR="00825B10" w:rsidP="00825B10" w:rsidRDefault="00825B10" w14:paraId="43A4C80E" w14:textId="0232BD12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Jefe Oficina Asesora Jurídica (E)</w:t>
      </w:r>
    </w:p>
    <w:p w:rsidR="003920A3" w:rsidP="003920A3" w:rsidRDefault="003920A3" w14:paraId="4DEFD47C" w14:textId="77777777">
      <w:pPr>
        <w:jc w:val="both"/>
        <w:rPr>
          <w:rFonts w:ascii="Verdana" w:hAnsi="Verdana"/>
          <w:sz w:val="22"/>
          <w:szCs w:val="22"/>
        </w:rPr>
      </w:pPr>
    </w:p>
    <w:p w:rsidR="5346BFB1" w:rsidP="2E70811C" w:rsidRDefault="5346BFB1" w14:paraId="4E0A0942" w14:textId="4904C35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</w:pPr>
      <w:r w:rsidRPr="2E70811C" w:rsidR="5346BFB1">
        <w:rPr>
          <w:rFonts w:ascii="Verdana" w:hAnsi="Verdana"/>
          <w:b w:val="1"/>
          <w:bCs w:val="1"/>
          <w:sz w:val="20"/>
          <w:szCs w:val="20"/>
        </w:rPr>
        <w:t>Notas pie de página:</w:t>
      </w:r>
    </w:p>
    <w:p w:rsidRPr="003920A3" w:rsidR="003920A3" w:rsidP="003920A3" w:rsidRDefault="003920A3" w14:paraId="355A088A" w14:textId="0B1CB573">
      <w:pPr>
        <w:jc w:val="both"/>
        <w:rPr>
          <w:rFonts w:ascii="Verdana" w:hAnsi="Verdana"/>
          <w:sz w:val="20"/>
          <w:szCs w:val="20"/>
        </w:rPr>
      </w:pPr>
      <w:r w:rsidRPr="003920A3">
        <w:rPr>
          <w:rFonts w:ascii="Verdana" w:hAnsi="Verdana"/>
          <w:sz w:val="20"/>
          <w:szCs w:val="20"/>
        </w:rPr>
        <w:t xml:space="preserve">1 </w:t>
      </w:r>
      <w:proofErr w:type="gramStart"/>
      <w:r w:rsidRPr="003920A3">
        <w:rPr>
          <w:rFonts w:ascii="Verdana" w:hAnsi="Verdana"/>
          <w:sz w:val="20"/>
          <w:szCs w:val="20"/>
        </w:rPr>
        <w:t>Artículo</w:t>
      </w:r>
      <w:proofErr w:type="gramEnd"/>
      <w:r w:rsidRPr="003920A3">
        <w:rPr>
          <w:rFonts w:ascii="Verdana" w:hAnsi="Verdana"/>
          <w:sz w:val="20"/>
          <w:szCs w:val="20"/>
        </w:rPr>
        <w:t xml:space="preserve"> 6 numeral 4. Decreto 987 de 2012.</w:t>
      </w:r>
    </w:p>
    <w:p w:rsidRPr="003920A3" w:rsidR="003920A3" w:rsidP="003920A3" w:rsidRDefault="003920A3" w14:paraId="0E96F0E0" w14:textId="45D87625">
      <w:pPr>
        <w:jc w:val="both"/>
        <w:rPr>
          <w:rFonts w:ascii="Verdana" w:hAnsi="Verdana"/>
          <w:i/>
          <w:iCs/>
          <w:sz w:val="20"/>
          <w:szCs w:val="20"/>
        </w:rPr>
      </w:pPr>
      <w:r w:rsidRPr="003920A3">
        <w:rPr>
          <w:rFonts w:ascii="Verdana" w:hAnsi="Verdana"/>
          <w:sz w:val="20"/>
          <w:szCs w:val="20"/>
        </w:rPr>
        <w:lastRenderedPageBreak/>
        <w:t xml:space="preserve">2 </w:t>
      </w:r>
      <w:proofErr w:type="gramStart"/>
      <w:r w:rsidRPr="003920A3">
        <w:rPr>
          <w:rFonts w:ascii="Verdana" w:hAnsi="Verdana"/>
          <w:sz w:val="20"/>
          <w:szCs w:val="20"/>
        </w:rPr>
        <w:t>Ley</w:t>
      </w:r>
      <w:proofErr w:type="gramEnd"/>
      <w:r w:rsidRPr="003920A3">
        <w:rPr>
          <w:rFonts w:ascii="Verdana" w:hAnsi="Verdana"/>
          <w:sz w:val="20"/>
          <w:szCs w:val="20"/>
        </w:rPr>
        <w:t xml:space="preserve"> 1564 de 2012, “</w:t>
      </w:r>
      <w:r w:rsidRPr="003920A3">
        <w:rPr>
          <w:rFonts w:ascii="Verdana" w:hAnsi="Verdana"/>
          <w:i/>
          <w:iCs/>
          <w:sz w:val="20"/>
          <w:szCs w:val="20"/>
        </w:rPr>
        <w:t>Artículo 422. Título ejecutivo. Pueden demandarse ejecutivamente las obligaciones expresas,</w:t>
      </w:r>
      <w:r w:rsidRPr="003920A3">
        <w:rPr>
          <w:rFonts w:ascii="Verdana" w:hAnsi="Verdana"/>
          <w:i/>
          <w:iCs/>
          <w:sz w:val="20"/>
          <w:szCs w:val="20"/>
        </w:rPr>
        <w:t xml:space="preserve"> </w:t>
      </w:r>
      <w:r w:rsidRPr="003920A3">
        <w:rPr>
          <w:rFonts w:ascii="Verdana" w:hAnsi="Verdana"/>
          <w:i/>
          <w:iCs/>
          <w:sz w:val="20"/>
          <w:szCs w:val="20"/>
        </w:rPr>
        <w:t>claras y exigibles que consten en documentos que provengan del deudor o de su causante, y constituyan plena</w:t>
      </w:r>
      <w:r w:rsidRPr="003920A3">
        <w:rPr>
          <w:rFonts w:ascii="Verdana" w:hAnsi="Verdana"/>
          <w:i/>
          <w:iCs/>
          <w:sz w:val="20"/>
          <w:szCs w:val="20"/>
        </w:rPr>
        <w:t xml:space="preserve"> </w:t>
      </w:r>
      <w:r w:rsidRPr="003920A3">
        <w:rPr>
          <w:rFonts w:ascii="Verdana" w:hAnsi="Verdana"/>
          <w:i/>
          <w:iCs/>
          <w:sz w:val="20"/>
          <w:szCs w:val="20"/>
        </w:rPr>
        <w:t>prueba contra él, o las que emanen de una sentencia de condena proferida por juez o tribunal de cualquier</w:t>
      </w:r>
      <w:r w:rsidRPr="003920A3">
        <w:rPr>
          <w:rFonts w:ascii="Verdana" w:hAnsi="Verdana"/>
          <w:i/>
          <w:iCs/>
          <w:sz w:val="20"/>
          <w:szCs w:val="20"/>
        </w:rPr>
        <w:t xml:space="preserve"> </w:t>
      </w:r>
      <w:r w:rsidRPr="003920A3">
        <w:rPr>
          <w:rFonts w:ascii="Verdana" w:hAnsi="Verdana"/>
          <w:i/>
          <w:iCs/>
          <w:sz w:val="20"/>
          <w:szCs w:val="20"/>
        </w:rPr>
        <w:t>jurisdicción, o de otra providencia judicial, o de las providencias que en procesos de policía aprueben liquidación de</w:t>
      </w:r>
      <w:r w:rsidRPr="003920A3">
        <w:rPr>
          <w:rFonts w:ascii="Verdana" w:hAnsi="Verdana"/>
          <w:i/>
          <w:iCs/>
          <w:sz w:val="20"/>
          <w:szCs w:val="20"/>
        </w:rPr>
        <w:t xml:space="preserve"> </w:t>
      </w:r>
      <w:r w:rsidRPr="003920A3">
        <w:rPr>
          <w:rFonts w:ascii="Verdana" w:hAnsi="Verdana"/>
          <w:i/>
          <w:iCs/>
          <w:sz w:val="20"/>
          <w:szCs w:val="20"/>
        </w:rPr>
        <w:t>costas o señalen honorarios de auxiliares de la justicia, y los demás documentos que señale la ley. La confesión</w:t>
      </w:r>
      <w:r w:rsidRPr="003920A3">
        <w:rPr>
          <w:rFonts w:ascii="Verdana" w:hAnsi="Verdana"/>
          <w:i/>
          <w:iCs/>
          <w:sz w:val="20"/>
          <w:szCs w:val="20"/>
        </w:rPr>
        <w:t xml:space="preserve"> </w:t>
      </w:r>
      <w:r w:rsidRPr="003920A3">
        <w:rPr>
          <w:rFonts w:ascii="Verdana" w:hAnsi="Verdana"/>
          <w:i/>
          <w:iCs/>
          <w:sz w:val="20"/>
          <w:szCs w:val="20"/>
        </w:rPr>
        <w:t>hecha en el curso de un proceso no constituye título ejecutivo, pero sí la que conste en el interrogatorio previsto en</w:t>
      </w:r>
      <w:r w:rsidRPr="003920A3">
        <w:rPr>
          <w:rFonts w:ascii="Verdana" w:hAnsi="Verdana"/>
          <w:i/>
          <w:iCs/>
          <w:sz w:val="20"/>
          <w:szCs w:val="20"/>
        </w:rPr>
        <w:t xml:space="preserve"> </w:t>
      </w:r>
      <w:r w:rsidRPr="003920A3">
        <w:rPr>
          <w:rFonts w:ascii="Verdana" w:hAnsi="Verdana"/>
          <w:i/>
          <w:iCs/>
          <w:sz w:val="20"/>
          <w:szCs w:val="20"/>
        </w:rPr>
        <w:t>el artículo 184.”.</w:t>
      </w:r>
    </w:p>
    <w:p w:rsidRPr="003920A3" w:rsidR="003920A3" w:rsidP="003920A3" w:rsidRDefault="003920A3" w14:paraId="2A9FBE8C" w14:textId="4FA3802A">
      <w:pPr>
        <w:jc w:val="both"/>
        <w:rPr>
          <w:rFonts w:ascii="Verdana" w:hAnsi="Verdana"/>
          <w:sz w:val="20"/>
          <w:szCs w:val="20"/>
          <w:lang w:val="pt-PT"/>
        </w:rPr>
      </w:pPr>
      <w:r w:rsidRPr="003920A3">
        <w:rPr>
          <w:rFonts w:ascii="Verdana" w:hAnsi="Verdana"/>
          <w:sz w:val="20"/>
          <w:szCs w:val="20"/>
          <w:lang w:val="pt-PT"/>
        </w:rPr>
        <w:t>3 Corte Constitucional. Sentencia T-747 de 2013. M.P. Jorge Pretelt Chaljub.</w:t>
      </w:r>
    </w:p>
    <w:p w:rsidRPr="003920A3" w:rsidR="003920A3" w:rsidP="003920A3" w:rsidRDefault="003920A3" w14:paraId="5D544A54" w14:textId="77777777">
      <w:pPr>
        <w:jc w:val="both"/>
        <w:rPr>
          <w:rFonts w:ascii="Verdana" w:hAnsi="Verdana"/>
          <w:sz w:val="20"/>
          <w:szCs w:val="20"/>
          <w:lang w:val="pt-PT"/>
        </w:rPr>
      </w:pPr>
      <w:r w:rsidRPr="003920A3">
        <w:rPr>
          <w:rFonts w:ascii="Verdana" w:hAnsi="Verdana"/>
          <w:sz w:val="20"/>
          <w:szCs w:val="20"/>
          <w:lang w:val="pt-PT"/>
        </w:rPr>
        <w:t>4 Corte Constitucional. Sentencia T-747 de 2013. M.P. Jorge Pretelt Chaljub.</w:t>
      </w:r>
    </w:p>
    <w:p w:rsidRPr="003920A3" w:rsidR="003920A3" w:rsidP="003920A3" w:rsidRDefault="003920A3" w14:paraId="74718014" w14:textId="3103C2AE">
      <w:pPr>
        <w:jc w:val="both"/>
        <w:rPr>
          <w:rFonts w:ascii="Verdana" w:hAnsi="Verdana"/>
          <w:sz w:val="20"/>
          <w:szCs w:val="20"/>
        </w:rPr>
      </w:pPr>
      <w:r w:rsidRPr="003920A3">
        <w:rPr>
          <w:rFonts w:ascii="Verdana" w:hAnsi="Verdana"/>
          <w:sz w:val="20"/>
          <w:szCs w:val="20"/>
        </w:rPr>
        <w:t xml:space="preserve">5 </w:t>
      </w:r>
      <w:proofErr w:type="gramStart"/>
      <w:r w:rsidRPr="003920A3">
        <w:rPr>
          <w:rFonts w:ascii="Verdana" w:hAnsi="Verdana"/>
          <w:sz w:val="20"/>
          <w:szCs w:val="20"/>
        </w:rPr>
        <w:t>Consejo</w:t>
      </w:r>
      <w:proofErr w:type="gramEnd"/>
      <w:r w:rsidRPr="003920A3">
        <w:rPr>
          <w:rFonts w:ascii="Verdana" w:hAnsi="Verdana"/>
          <w:sz w:val="20"/>
          <w:szCs w:val="20"/>
        </w:rPr>
        <w:t xml:space="preserve"> de Estado, Sección Cuarta, Sala de lo Contencioso Administrativos, Sentencia del 31 de enero de 2008,</w:t>
      </w:r>
      <w:r w:rsidRPr="003920A3">
        <w:rPr>
          <w:rFonts w:ascii="Verdana" w:hAnsi="Verdana"/>
          <w:sz w:val="20"/>
          <w:szCs w:val="20"/>
        </w:rPr>
        <w:t xml:space="preserve"> </w:t>
      </w:r>
      <w:r w:rsidRPr="003920A3">
        <w:rPr>
          <w:rFonts w:ascii="Verdana" w:hAnsi="Verdana"/>
          <w:sz w:val="20"/>
          <w:szCs w:val="20"/>
        </w:rPr>
        <w:t>Radicado. 44401-23-31-000-2007-00067-01(34201) C.P. Myriam Stella Gutiérrez Arguello.</w:t>
      </w:r>
    </w:p>
    <w:p w:rsidRPr="003920A3" w:rsidR="003920A3" w:rsidP="003920A3" w:rsidRDefault="003920A3" w14:paraId="5A97E12F" w14:textId="3A7DCB48">
      <w:pPr>
        <w:jc w:val="both"/>
        <w:rPr>
          <w:rFonts w:ascii="Verdana" w:hAnsi="Verdana"/>
          <w:sz w:val="20"/>
          <w:szCs w:val="20"/>
        </w:rPr>
      </w:pPr>
      <w:r w:rsidRPr="003920A3">
        <w:rPr>
          <w:rFonts w:ascii="Verdana" w:hAnsi="Verdana"/>
          <w:sz w:val="20"/>
          <w:szCs w:val="20"/>
        </w:rPr>
        <w:t xml:space="preserve">6 </w:t>
      </w:r>
      <w:proofErr w:type="gramStart"/>
      <w:r w:rsidRPr="003920A3">
        <w:rPr>
          <w:rFonts w:ascii="Verdana" w:hAnsi="Verdana"/>
          <w:sz w:val="20"/>
          <w:szCs w:val="20"/>
        </w:rPr>
        <w:t>Subsección</w:t>
      </w:r>
      <w:proofErr w:type="gramEnd"/>
      <w:r w:rsidRPr="003920A3">
        <w:rPr>
          <w:rFonts w:ascii="Verdana" w:hAnsi="Verdana"/>
          <w:sz w:val="20"/>
          <w:szCs w:val="20"/>
        </w:rPr>
        <w:t xml:space="preserve"> A de la Sección Tercera del Consejo de Estado, las siguientes: (i) del 20 de noviembre de 2020,</w:t>
      </w:r>
      <w:r w:rsidRPr="003920A3">
        <w:rPr>
          <w:rFonts w:ascii="Verdana" w:hAnsi="Verdana"/>
          <w:sz w:val="20"/>
          <w:szCs w:val="20"/>
        </w:rPr>
        <w:t xml:space="preserve"> </w:t>
      </w:r>
      <w:r w:rsidRPr="003920A3">
        <w:rPr>
          <w:rFonts w:ascii="Verdana" w:hAnsi="Verdana"/>
          <w:sz w:val="20"/>
          <w:szCs w:val="20"/>
        </w:rPr>
        <w:t>expediente 66.172, (</w:t>
      </w:r>
      <w:proofErr w:type="spellStart"/>
      <w:r w:rsidRPr="003920A3">
        <w:rPr>
          <w:rFonts w:ascii="Verdana" w:hAnsi="Verdana"/>
          <w:sz w:val="20"/>
          <w:szCs w:val="20"/>
        </w:rPr>
        <w:t>ii</w:t>
      </w:r>
      <w:proofErr w:type="spellEnd"/>
      <w:r w:rsidRPr="003920A3">
        <w:rPr>
          <w:rFonts w:ascii="Verdana" w:hAnsi="Verdana"/>
          <w:sz w:val="20"/>
          <w:szCs w:val="20"/>
        </w:rPr>
        <w:t>) del 23 de octubre de 2020, expediente 65.271, y (</w:t>
      </w:r>
      <w:proofErr w:type="spellStart"/>
      <w:r w:rsidRPr="003920A3">
        <w:rPr>
          <w:rFonts w:ascii="Verdana" w:hAnsi="Verdana"/>
          <w:sz w:val="20"/>
          <w:szCs w:val="20"/>
        </w:rPr>
        <w:t>iii</w:t>
      </w:r>
      <w:proofErr w:type="spellEnd"/>
      <w:r w:rsidRPr="003920A3">
        <w:rPr>
          <w:rFonts w:ascii="Verdana" w:hAnsi="Verdana"/>
          <w:sz w:val="20"/>
          <w:szCs w:val="20"/>
        </w:rPr>
        <w:t>) del 3 de julio de 2020, expediente</w:t>
      </w:r>
      <w:r w:rsidRPr="003920A3">
        <w:rPr>
          <w:rFonts w:ascii="Verdana" w:hAnsi="Verdana"/>
          <w:sz w:val="20"/>
          <w:szCs w:val="20"/>
        </w:rPr>
        <w:t xml:space="preserve"> </w:t>
      </w:r>
      <w:r w:rsidRPr="003920A3">
        <w:rPr>
          <w:rFonts w:ascii="Verdana" w:hAnsi="Verdana"/>
          <w:sz w:val="20"/>
          <w:szCs w:val="20"/>
        </w:rPr>
        <w:t>65.561. Tomado de: Sala de lo Contencioso Administrativo – Consejo de Estado, providencia de 18 de marzo de</w:t>
      </w:r>
      <w:r w:rsidRPr="003920A3">
        <w:rPr>
          <w:rFonts w:ascii="Verdana" w:hAnsi="Verdana"/>
          <w:sz w:val="20"/>
          <w:szCs w:val="20"/>
        </w:rPr>
        <w:t xml:space="preserve"> </w:t>
      </w:r>
      <w:r w:rsidRPr="003920A3">
        <w:rPr>
          <w:rFonts w:ascii="Verdana" w:hAnsi="Verdana"/>
          <w:sz w:val="20"/>
          <w:szCs w:val="20"/>
        </w:rPr>
        <w:t>2022 C.P. José Roberto Sáchica Méndez.</w:t>
      </w:r>
    </w:p>
    <w:p w:rsidRPr="003920A3" w:rsidR="003920A3" w:rsidP="003920A3" w:rsidRDefault="003920A3" w14:paraId="3203EBD3" w14:textId="77777777">
      <w:pPr>
        <w:jc w:val="both"/>
        <w:rPr>
          <w:rFonts w:ascii="Verdana" w:hAnsi="Verdana"/>
          <w:sz w:val="22"/>
          <w:szCs w:val="22"/>
        </w:rPr>
      </w:pPr>
    </w:p>
    <w:sectPr w:rsidRPr="003920A3" w:rsidR="003920A3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24B"/>
    <w:multiLevelType w:val="hybridMultilevel"/>
    <w:tmpl w:val="2F285C16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DE2164"/>
    <w:multiLevelType w:val="hybridMultilevel"/>
    <w:tmpl w:val="721E7CFC"/>
    <w:lvl w:ilvl="0" w:tplc="58A2AE58">
      <w:numFmt w:val="bullet"/>
      <w:lvlText w:val="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4A79CD"/>
    <w:multiLevelType w:val="hybridMultilevel"/>
    <w:tmpl w:val="04E89BDC"/>
    <w:lvl w:ilvl="0" w:tplc="58A2AE58">
      <w:numFmt w:val="bullet"/>
      <w:lvlText w:val="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9F631D"/>
    <w:multiLevelType w:val="hybridMultilevel"/>
    <w:tmpl w:val="5D7E49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67CDE"/>
    <w:multiLevelType w:val="hybridMultilevel"/>
    <w:tmpl w:val="23385C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734050">
    <w:abstractNumId w:val="0"/>
  </w:num>
  <w:num w:numId="2" w16cid:durableId="1590041792">
    <w:abstractNumId w:val="2"/>
  </w:num>
  <w:num w:numId="3" w16cid:durableId="1528370564">
    <w:abstractNumId w:val="1"/>
  </w:num>
  <w:num w:numId="4" w16cid:durableId="975791533">
    <w:abstractNumId w:val="4"/>
  </w:num>
  <w:num w:numId="5" w16cid:durableId="1473403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59"/>
    <w:rsid w:val="00015B6D"/>
    <w:rsid w:val="003055CE"/>
    <w:rsid w:val="003920A3"/>
    <w:rsid w:val="00674762"/>
    <w:rsid w:val="00823959"/>
    <w:rsid w:val="00825B10"/>
    <w:rsid w:val="00F84C1B"/>
    <w:rsid w:val="2E70811C"/>
    <w:rsid w:val="5346BFB1"/>
    <w:rsid w:val="55EBDF7D"/>
    <w:rsid w:val="6C8A46B9"/>
    <w:rsid w:val="6E52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4313"/>
  <w15:chartTrackingRefBased/>
  <w15:docId w15:val="{A8CB606C-39BF-4A71-A5EB-1111A867E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39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39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3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3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3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3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3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3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3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82395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82395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82395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82395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82395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82395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82395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82395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8239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395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82395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3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823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3959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82395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395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395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395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2395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3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D898C2-1278-473F-836A-05A699A3F85F}"/>
</file>

<file path=customXml/itemProps2.xml><?xml version="1.0" encoding="utf-8"?>
<ds:datastoreItem xmlns:ds="http://schemas.openxmlformats.org/officeDocument/2006/customXml" ds:itemID="{A0679622-1161-45A4-9998-AD60F3EF2E9D}"/>
</file>

<file path=customXml/itemProps3.xml><?xml version="1.0" encoding="utf-8"?>
<ds:datastoreItem xmlns:ds="http://schemas.openxmlformats.org/officeDocument/2006/customXml" ds:itemID="{CC1FAFDA-BAF7-4607-B08A-8A83944732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2026-04-22T16:28:00Z</dcterms:created>
  <dcterms:modified xsi:type="dcterms:W3CDTF">2026-05-05T16:08:11Z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