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26F6" w14:textId="77777777" w:rsidR="00CA6B87" w:rsidRPr="00CA6B87" w:rsidRDefault="00CA6B87" w:rsidP="00CA6B87">
      <w:pPr>
        <w:jc w:val="center"/>
        <w:rPr>
          <w:rFonts w:ascii="Verdana" w:hAnsi="Verdana"/>
          <w:sz w:val="22"/>
          <w:szCs w:val="22"/>
        </w:rPr>
      </w:pPr>
      <w:r w:rsidRPr="00CA6B87">
        <w:rPr>
          <w:rFonts w:ascii="Verdana" w:hAnsi="Verdana"/>
          <w:b/>
          <w:bCs/>
          <w:sz w:val="22"/>
          <w:szCs w:val="22"/>
        </w:rPr>
        <w:t>CONCEPTO 89 DE 2016</w:t>
      </w:r>
    </w:p>
    <w:p w14:paraId="3A6D5900" w14:textId="77777777" w:rsidR="00CA6B87" w:rsidRPr="00CA6B87" w:rsidRDefault="00CA6B87" w:rsidP="00CA6B87">
      <w:pPr>
        <w:jc w:val="center"/>
        <w:rPr>
          <w:rFonts w:ascii="Verdana" w:hAnsi="Verdana"/>
          <w:sz w:val="22"/>
          <w:szCs w:val="22"/>
        </w:rPr>
      </w:pPr>
      <w:r w:rsidRPr="00CA6B87">
        <w:rPr>
          <w:rFonts w:ascii="Verdana" w:hAnsi="Verdana"/>
          <w:sz w:val="22"/>
          <w:szCs w:val="22"/>
        </w:rPr>
        <w:t>(agosto 10)</w:t>
      </w:r>
    </w:p>
    <w:p w14:paraId="566D38FF" w14:textId="77777777" w:rsidR="00CA6B87" w:rsidRPr="00CA6B87" w:rsidRDefault="00CA6B87" w:rsidP="00CA6B87">
      <w:pPr>
        <w:jc w:val="center"/>
        <w:rPr>
          <w:rFonts w:ascii="Verdana" w:hAnsi="Verdana"/>
          <w:sz w:val="22"/>
          <w:szCs w:val="22"/>
        </w:rPr>
      </w:pPr>
      <w:r w:rsidRPr="00CA6B87">
        <w:rPr>
          <w:rFonts w:ascii="Verdana" w:hAnsi="Verdana"/>
          <w:b/>
          <w:bCs/>
          <w:sz w:val="22"/>
          <w:szCs w:val="22"/>
        </w:rPr>
        <w:t>INSTITUTO COLOMBIANO DE BIENESTAR FAMILIAR</w:t>
      </w:r>
    </w:p>
    <w:p w14:paraId="3D29D103" w14:textId="77777777" w:rsidR="00CA6B87" w:rsidRDefault="00CA6B87" w:rsidP="00CA6B87">
      <w:pPr>
        <w:jc w:val="both"/>
        <w:rPr>
          <w:rFonts w:ascii="Verdana" w:hAnsi="Verdana"/>
          <w:sz w:val="22"/>
          <w:szCs w:val="22"/>
        </w:rPr>
      </w:pPr>
    </w:p>
    <w:p w14:paraId="0A66ED20" w14:textId="1AAB6AB8" w:rsidR="00CA6B87" w:rsidRPr="00CA6B87" w:rsidRDefault="00CA6B87" w:rsidP="00CA6B87">
      <w:pPr>
        <w:jc w:val="both"/>
        <w:rPr>
          <w:rFonts w:ascii="Verdana" w:hAnsi="Verdana"/>
          <w:sz w:val="22"/>
          <w:szCs w:val="22"/>
        </w:rPr>
      </w:pPr>
      <w:r w:rsidRPr="00CA6B87">
        <w:rPr>
          <w:rFonts w:ascii="Verdana" w:hAnsi="Verdana"/>
          <w:b/>
          <w:bCs/>
          <w:sz w:val="22"/>
          <w:szCs w:val="22"/>
        </w:rPr>
        <w:t>ASUNTO:</w:t>
      </w:r>
      <w:r w:rsidRPr="00CA6B87">
        <w:rPr>
          <w:rFonts w:ascii="Verdana" w:hAnsi="Verdana"/>
          <w:sz w:val="22"/>
          <w:szCs w:val="22"/>
        </w:rPr>
        <w:t xml:space="preserve"> Su solicitud de concepto enviada en el oficio radicado bajo el número E-2016-342500 del 19/07/2016.</w:t>
      </w:r>
    </w:p>
    <w:p w14:paraId="29A3A60A" w14:textId="23152272" w:rsidR="00CA6B87" w:rsidRPr="00CA6B87" w:rsidRDefault="00CA6B87" w:rsidP="00CA6B87">
      <w:pPr>
        <w:jc w:val="both"/>
        <w:rPr>
          <w:rFonts w:ascii="Verdana" w:hAnsi="Verdana"/>
          <w:sz w:val="22"/>
          <w:szCs w:val="22"/>
        </w:rPr>
      </w:pPr>
      <w:r w:rsidRPr="00CA6B87">
        <w:rPr>
          <w:rFonts w:ascii="Verdana" w:hAnsi="Verdana"/>
          <w:sz w:val="22"/>
          <w:szCs w:val="22"/>
        </w:rPr>
        <w:t>Atendiendo al asunto de la referencia y de acuerdo con lo previsto en los artículos 26 del Código Civil, Civil, Ley 1755 de 2015, y el artículo 6o numeral 4 del Decreto 987 de 2012. y numeral 4 del artículo 6 del Decreto 987 de 2012, se procede a emitir concepto en los siguientes términos:</w:t>
      </w:r>
    </w:p>
    <w:p w14:paraId="06259711" w14:textId="46A37F1C" w:rsidR="00CA6B87" w:rsidRPr="00CA6B87" w:rsidRDefault="00CA6B87" w:rsidP="00CA6B87">
      <w:pPr>
        <w:pStyle w:val="Prrafodelista"/>
        <w:numPr>
          <w:ilvl w:val="0"/>
          <w:numId w:val="4"/>
        </w:numPr>
        <w:jc w:val="both"/>
        <w:rPr>
          <w:rFonts w:ascii="Verdana" w:hAnsi="Verdana"/>
          <w:sz w:val="22"/>
          <w:szCs w:val="22"/>
        </w:rPr>
      </w:pPr>
      <w:r w:rsidRPr="00CA6B87">
        <w:rPr>
          <w:rFonts w:ascii="Verdana" w:hAnsi="Verdana"/>
          <w:b/>
          <w:bCs/>
          <w:sz w:val="22"/>
          <w:szCs w:val="22"/>
        </w:rPr>
        <w:t>PROBLEMA JURIDICO</w:t>
      </w:r>
    </w:p>
    <w:p w14:paraId="6B211AF3" w14:textId="77777777" w:rsidR="00CA6B87" w:rsidRPr="00CA6B87" w:rsidRDefault="00CA6B87" w:rsidP="00CA6B87">
      <w:pPr>
        <w:jc w:val="both"/>
        <w:rPr>
          <w:rFonts w:ascii="Verdana" w:hAnsi="Verdana"/>
          <w:sz w:val="22"/>
          <w:szCs w:val="22"/>
        </w:rPr>
      </w:pPr>
      <w:r w:rsidRPr="00CA6B87">
        <w:rPr>
          <w:rFonts w:ascii="Verdana" w:hAnsi="Verdana"/>
          <w:sz w:val="22"/>
          <w:szCs w:val="22"/>
        </w:rPr>
        <w:t xml:space="preserve">Se consulta: ¿Puede un niño de 3, 5, 7 o 10 </w:t>
      </w:r>
      <w:proofErr w:type="gramStart"/>
      <w:r w:rsidRPr="00CA6B87">
        <w:rPr>
          <w:rFonts w:ascii="Verdana" w:hAnsi="Verdana"/>
          <w:sz w:val="22"/>
          <w:szCs w:val="22"/>
        </w:rPr>
        <w:t>años de edad</w:t>
      </w:r>
      <w:proofErr w:type="gramEnd"/>
      <w:r w:rsidRPr="00CA6B87">
        <w:rPr>
          <w:rFonts w:ascii="Verdana" w:hAnsi="Verdana"/>
          <w:sz w:val="22"/>
          <w:szCs w:val="22"/>
        </w:rPr>
        <w:t xml:space="preserve"> entrar solo a una sala de cine?</w:t>
      </w:r>
    </w:p>
    <w:p w14:paraId="7013C9D2" w14:textId="3875BD9F" w:rsidR="00CA6B87" w:rsidRPr="00CA6B87" w:rsidRDefault="00CA6B87" w:rsidP="00CA6B87">
      <w:pPr>
        <w:pStyle w:val="Prrafodelista"/>
        <w:numPr>
          <w:ilvl w:val="0"/>
          <w:numId w:val="4"/>
        </w:numPr>
        <w:jc w:val="both"/>
        <w:rPr>
          <w:rFonts w:ascii="Verdana" w:hAnsi="Verdana"/>
          <w:sz w:val="22"/>
          <w:szCs w:val="22"/>
        </w:rPr>
      </w:pPr>
      <w:r w:rsidRPr="00CA6B87">
        <w:rPr>
          <w:rFonts w:ascii="Verdana" w:hAnsi="Verdana"/>
          <w:b/>
          <w:bCs/>
          <w:sz w:val="22"/>
          <w:szCs w:val="22"/>
        </w:rPr>
        <w:t>ANÁLISIS DEL PROBLEMA JURÍDICO</w:t>
      </w:r>
    </w:p>
    <w:p w14:paraId="42326CB5" w14:textId="77777777" w:rsidR="00CA6B87" w:rsidRPr="00CA6B87" w:rsidRDefault="00CA6B87" w:rsidP="00CA6B87">
      <w:pPr>
        <w:jc w:val="both"/>
        <w:rPr>
          <w:rFonts w:ascii="Verdana" w:hAnsi="Verdana"/>
          <w:sz w:val="22"/>
          <w:szCs w:val="22"/>
        </w:rPr>
      </w:pPr>
      <w:r w:rsidRPr="00CA6B87">
        <w:rPr>
          <w:rFonts w:ascii="Verdana" w:hAnsi="Verdana"/>
          <w:sz w:val="22"/>
          <w:szCs w:val="22"/>
        </w:rPr>
        <w:t>Se abordará el tema analizando: 2.1. El interés superior del niño: 2.2. La Protección integral de los niños, niñas y adolescentes 2.3 - La Patria Potestad: 2.4. La Custodia y Cuidado Personal, 2.5 - Derecho a la recreación de los niños, niñas y adolescentes; 3. Caso concreto.</w:t>
      </w:r>
    </w:p>
    <w:p w14:paraId="2381397E" w14:textId="5C073A2E" w:rsidR="00CA6B87" w:rsidRPr="00CA6B87" w:rsidRDefault="00CA6B87" w:rsidP="00CA6B87">
      <w:pPr>
        <w:pStyle w:val="Prrafodelista"/>
        <w:numPr>
          <w:ilvl w:val="1"/>
          <w:numId w:val="4"/>
        </w:numPr>
        <w:jc w:val="both"/>
        <w:rPr>
          <w:rFonts w:ascii="Verdana" w:hAnsi="Verdana"/>
          <w:sz w:val="22"/>
          <w:szCs w:val="22"/>
        </w:rPr>
      </w:pPr>
      <w:r w:rsidRPr="00CA6B87">
        <w:rPr>
          <w:rFonts w:ascii="Verdana" w:hAnsi="Verdana"/>
          <w:b/>
          <w:bCs/>
          <w:sz w:val="22"/>
          <w:szCs w:val="22"/>
        </w:rPr>
        <w:t>El Interés Superior de los niños, las niñas y los adolescentes</w:t>
      </w:r>
    </w:p>
    <w:p w14:paraId="2F87532B" w14:textId="77777777" w:rsidR="00CA6B87" w:rsidRPr="00CA6B87" w:rsidRDefault="00CA6B87" w:rsidP="00CA6B87">
      <w:pPr>
        <w:jc w:val="both"/>
        <w:rPr>
          <w:rFonts w:ascii="Verdana" w:hAnsi="Verdana"/>
          <w:sz w:val="22"/>
          <w:szCs w:val="22"/>
        </w:rPr>
      </w:pPr>
      <w:r w:rsidRPr="00CA6B87">
        <w:rPr>
          <w:rFonts w:ascii="Verdana" w:hAnsi="Verdana"/>
          <w:sz w:val="22"/>
          <w:szCs w:val="22"/>
        </w:rPr>
        <w:t>La Convención sobre los Derechos del Niño en el numeral primero del artículo tercero establece que </w:t>
      </w:r>
      <w:r w:rsidRPr="00CA6B87">
        <w:rPr>
          <w:rFonts w:ascii="Verdana" w:hAnsi="Verdana"/>
          <w:i/>
          <w:iCs/>
          <w:sz w:val="22"/>
          <w:szCs w:val="22"/>
        </w:rPr>
        <w:t>“</w:t>
      </w:r>
      <w:proofErr w:type="gramStart"/>
      <w:r w:rsidRPr="00CA6B87">
        <w:rPr>
          <w:rFonts w:ascii="Verdana" w:hAnsi="Verdana"/>
          <w:i/>
          <w:iCs/>
          <w:sz w:val="22"/>
          <w:szCs w:val="22"/>
        </w:rPr>
        <w:t>(....</w:t>
      </w:r>
      <w:proofErr w:type="gramEnd"/>
      <w:r w:rsidRPr="00CA6B87">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CA6B87">
        <w:rPr>
          <w:rFonts w:ascii="Verdana" w:hAnsi="Verdana"/>
          <w:i/>
          <w:iCs/>
          <w:sz w:val="22"/>
          <w:szCs w:val="22"/>
          <w:u w:val="single"/>
        </w:rPr>
        <w:t>una consideración primordial a que se atenderá será el interés superior del niño</w:t>
      </w:r>
      <w:r w:rsidRPr="00CA6B87">
        <w:rPr>
          <w:rFonts w:ascii="Verdana" w:hAnsi="Verdana"/>
          <w:sz w:val="22"/>
          <w:szCs w:val="22"/>
        </w:rPr>
        <w:t>" (subrayado fuera de texto).</w:t>
      </w:r>
    </w:p>
    <w:p w14:paraId="758E5B87" w14:textId="236C64F1" w:rsidR="00CA6B87" w:rsidRPr="00CA6B87" w:rsidRDefault="00CA6B87" w:rsidP="00CA6B87">
      <w:pPr>
        <w:jc w:val="both"/>
        <w:rPr>
          <w:rFonts w:ascii="Verdana" w:hAnsi="Verdana"/>
          <w:sz w:val="22"/>
          <w:szCs w:val="22"/>
        </w:rPr>
      </w:pPr>
      <w:r w:rsidRPr="00CA6B87">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715A521C" w14:textId="1E130B6C" w:rsidR="00CA6B87" w:rsidRPr="00CA6B87" w:rsidRDefault="00CA6B87" w:rsidP="00CA6B87">
      <w:pPr>
        <w:jc w:val="both"/>
        <w:rPr>
          <w:rFonts w:ascii="Verdana" w:hAnsi="Verdana"/>
          <w:sz w:val="22"/>
          <w:szCs w:val="22"/>
        </w:rPr>
      </w:pPr>
      <w:r w:rsidRPr="00CA6B87">
        <w:rPr>
          <w:rFonts w:ascii="Verdana" w:hAnsi="Verdana"/>
          <w:sz w:val="22"/>
          <w:szCs w:val="22"/>
        </w:rPr>
        <w:t>Por su parte, en el artículo 8 del Código de la infancia y la Adolescencia se define el interés superior de los niños, las niñas y los adolescentes como “(...) </w:t>
      </w:r>
      <w:r w:rsidRPr="00CA6B87">
        <w:rPr>
          <w:rFonts w:ascii="Verdana" w:hAnsi="Verdana"/>
          <w:i/>
          <w:iCs/>
          <w:sz w:val="22"/>
          <w:szCs w:val="22"/>
        </w:rPr>
        <w:t>el imperativo que obliga a todas las personas a garantizar la satisfacción integral y simultánea de todos sus derechos humanos, que son universales, prevalentes e interdependientes".</w:t>
      </w:r>
    </w:p>
    <w:p w14:paraId="310CF6FB" w14:textId="77777777" w:rsidR="00CA6B87" w:rsidRPr="00CA6B87" w:rsidRDefault="00CA6B87" w:rsidP="00CA6B87">
      <w:pPr>
        <w:jc w:val="both"/>
        <w:rPr>
          <w:rFonts w:ascii="Verdana" w:hAnsi="Verdana"/>
          <w:sz w:val="22"/>
          <w:szCs w:val="22"/>
        </w:rPr>
      </w:pPr>
      <w:r w:rsidRPr="00CA6B87">
        <w:rPr>
          <w:rFonts w:ascii="Verdana" w:hAnsi="Verdana"/>
          <w:sz w:val="22"/>
          <w:szCs w:val="22"/>
        </w:rPr>
        <w:lastRenderedPageBreak/>
        <w:t xml:space="preserve">En ese sentido, la Corte Constitucional ha precisado que todas las actuaciones que realicen las </w:t>
      </w:r>
      <w:proofErr w:type="gramStart"/>
      <w:r w:rsidRPr="00CA6B87">
        <w:rPr>
          <w:rFonts w:ascii="Verdana" w:hAnsi="Verdana"/>
          <w:sz w:val="22"/>
          <w:szCs w:val="22"/>
        </w:rPr>
        <w:t>autoridades públicas</w:t>
      </w:r>
      <w:proofErr w:type="gramEnd"/>
      <w:r w:rsidRPr="00CA6B87">
        <w:rPr>
          <w:rFonts w:ascii="Verdana" w:hAnsi="Verdana"/>
          <w:sz w:val="22"/>
          <w:szCs w:val="22"/>
        </w:rPr>
        <w:t xml:space="preserve"> en las que se encuentren involucrados niños, niñas o adolescentes deben estar orientadas por el principio del interés superior.</w:t>
      </w:r>
      <w:r w:rsidRPr="00CA6B87">
        <w:rPr>
          <w:rFonts w:ascii="Verdana" w:hAnsi="Verdana"/>
          <w:sz w:val="22"/>
          <w:szCs w:val="22"/>
          <w:vertAlign w:val="subscript"/>
        </w:rPr>
        <w:t>[1]</w:t>
      </w:r>
    </w:p>
    <w:p w14:paraId="596BC9EF" w14:textId="77777777" w:rsidR="00CA6B87" w:rsidRPr="00CA6B87" w:rsidRDefault="00CA6B87" w:rsidP="00CA6B87">
      <w:pPr>
        <w:jc w:val="both"/>
        <w:rPr>
          <w:rFonts w:ascii="Verdana" w:hAnsi="Verdana"/>
          <w:sz w:val="22"/>
          <w:szCs w:val="22"/>
        </w:rPr>
      </w:pPr>
      <w:r w:rsidRPr="00CA6B87">
        <w:rPr>
          <w:rFonts w:ascii="Verdana" w:hAnsi="Verdana"/>
          <w:sz w:val="22"/>
          <w:szCs w:val="22"/>
        </w:rPr>
        <w:t>En efecto, la Corte ha afirmado que </w:t>
      </w:r>
      <w:r w:rsidRPr="00CA6B87">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CA6B87">
        <w:rPr>
          <w:rFonts w:ascii="Verdana" w:hAnsi="Verdana"/>
          <w:i/>
          <w:iCs/>
          <w:sz w:val="22"/>
          <w:szCs w:val="22"/>
        </w:rPr>
        <w:t>que</w:t>
      </w:r>
      <w:proofErr w:type="gramEnd"/>
      <w:r w:rsidRPr="00CA6B87">
        <w:rPr>
          <w:rFonts w:ascii="Verdana" w:hAnsi="Verdana"/>
          <w:i/>
          <w:iCs/>
          <w:sz w:val="22"/>
          <w:szCs w:val="22"/>
        </w:rPr>
        <w:t xml:space="preserve"> en tanto sujeto digno, debe ser atendido por la familia, la sociedad y el Estado con todo el cuidado que requiere su situación personal".</w:t>
      </w:r>
      <w:r w:rsidRPr="00CA6B87">
        <w:rPr>
          <w:rFonts w:ascii="Verdana" w:hAnsi="Verdana"/>
          <w:i/>
          <w:iCs/>
          <w:sz w:val="22"/>
          <w:szCs w:val="22"/>
          <w:vertAlign w:val="subscript"/>
        </w:rPr>
        <w:t>[2]</w:t>
      </w:r>
    </w:p>
    <w:p w14:paraId="172EABFF" w14:textId="77777777" w:rsidR="00CA6B87" w:rsidRPr="00CA6B87" w:rsidRDefault="00CA6B87" w:rsidP="00CA6B87">
      <w:pPr>
        <w:jc w:val="both"/>
        <w:rPr>
          <w:rFonts w:ascii="Verdana" w:hAnsi="Verdana"/>
          <w:sz w:val="22"/>
          <w:szCs w:val="22"/>
        </w:rPr>
      </w:pPr>
      <w:r w:rsidRPr="00CA6B87">
        <w:rPr>
          <w:rFonts w:ascii="Verdana" w:hAnsi="Verdana"/>
          <w:sz w:val="22"/>
          <w:szCs w:val="22"/>
        </w:rPr>
        <w:t>Así mismo, sostuvo que </w:t>
      </w:r>
      <w:r w:rsidRPr="00CA6B87">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CA6B87">
        <w:rPr>
          <w:rFonts w:ascii="Verdana" w:hAnsi="Verdana"/>
          <w:i/>
          <w:iCs/>
          <w:sz w:val="22"/>
          <w:szCs w:val="22"/>
          <w:vertAlign w:val="subscript"/>
        </w:rPr>
        <w:t>[3]</w:t>
      </w:r>
    </w:p>
    <w:p w14:paraId="748904C4" w14:textId="1BBB1963" w:rsidR="00CA6B87" w:rsidRPr="00CA6B87" w:rsidRDefault="00CA6B87" w:rsidP="00CA6B87">
      <w:pPr>
        <w:pStyle w:val="Prrafodelista"/>
        <w:numPr>
          <w:ilvl w:val="1"/>
          <w:numId w:val="4"/>
        </w:numPr>
        <w:jc w:val="both"/>
        <w:rPr>
          <w:rFonts w:ascii="Verdana" w:hAnsi="Verdana"/>
          <w:sz w:val="22"/>
          <w:szCs w:val="22"/>
        </w:rPr>
      </w:pPr>
      <w:r w:rsidRPr="00CA6B87">
        <w:rPr>
          <w:rFonts w:ascii="Verdana" w:hAnsi="Verdana"/>
          <w:b/>
          <w:bCs/>
          <w:sz w:val="22"/>
          <w:szCs w:val="22"/>
          <w:u w:val="single"/>
        </w:rPr>
        <w:t>La protección integral de los niños, niñas y adolescentes</w:t>
      </w:r>
    </w:p>
    <w:p w14:paraId="4788B6B5" w14:textId="0195F60E" w:rsidR="00CA6B87" w:rsidRPr="00CA6B87" w:rsidRDefault="00CA6B87" w:rsidP="00CA6B87">
      <w:pPr>
        <w:jc w:val="both"/>
        <w:rPr>
          <w:rFonts w:ascii="Verdana" w:hAnsi="Verdana"/>
          <w:sz w:val="22"/>
          <w:szCs w:val="22"/>
        </w:rPr>
      </w:pPr>
      <w:r w:rsidRPr="00CA6B87">
        <w:rPr>
          <w:rFonts w:ascii="Verdana" w:hAnsi="Verdana"/>
          <w:sz w:val="22"/>
          <w:szCs w:val="22"/>
        </w:rPr>
        <w:t>Como lo ha manifestado esta Oficina Jurídica,</w:t>
      </w:r>
      <w:r w:rsidRPr="00CA6B87">
        <w:rPr>
          <w:rFonts w:ascii="Verdana" w:hAnsi="Verdana"/>
          <w:sz w:val="22"/>
          <w:szCs w:val="22"/>
          <w:vertAlign w:val="subscript"/>
        </w:rPr>
        <w:t>[4]</w:t>
      </w:r>
      <w:r w:rsidRPr="00CA6B87">
        <w:rPr>
          <w:rFonts w:ascii="Verdana" w:hAnsi="Verdana"/>
          <w:sz w:val="22"/>
          <w:szCs w:val="22"/>
        </w:rPr>
        <w:t> la teoría de la protección integral de los niños, niñas y adolescentes tiene su fundamento como obligación de los Estados en la Convención de los Derechos del niño, la cual fue incorporada a nuestro ordenamiento jurídico mediante la Ley 12 de 1991. Dicha doctrina empezó a ser aplicada en Colombia con la finalidad de adecuar nuestra legislación de infancia y adolescencia a los postulados y estándares constitucionales del Estado social y democrático de Derecho y de los convenios internacionales ratificados por Colombia en la materia.</w:t>
      </w:r>
    </w:p>
    <w:p w14:paraId="62D61FFC" w14:textId="77777777" w:rsidR="00CA6B87" w:rsidRPr="00CA6B87" w:rsidRDefault="00CA6B87" w:rsidP="00CA6B87">
      <w:pPr>
        <w:jc w:val="both"/>
        <w:rPr>
          <w:rFonts w:ascii="Verdana" w:hAnsi="Verdana"/>
          <w:sz w:val="22"/>
          <w:szCs w:val="22"/>
        </w:rPr>
      </w:pPr>
      <w:r w:rsidRPr="00CA6B87">
        <w:rPr>
          <w:rFonts w:ascii="Verdana" w:hAnsi="Verdana"/>
          <w:sz w:val="22"/>
          <w:szCs w:val="22"/>
        </w:rPr>
        <w:t xml:space="preserve">La doctrina de la protección integral reconoce a los niños, niñas y adolescentes como personas autónomas y titulares de derechos y deberes, debiendo ser protegidos de manera integral y amplia, no sólo cuando sus derechos son </w:t>
      </w:r>
      <w:r w:rsidRPr="00CA6B87">
        <w:rPr>
          <w:rFonts w:ascii="Verdana" w:hAnsi="Verdana"/>
          <w:sz w:val="22"/>
          <w:szCs w:val="22"/>
        </w:rPr>
        <w:lastRenderedPageBreak/>
        <w:t>vulnerados.</w:t>
      </w:r>
      <w:r w:rsidRPr="00CA6B87">
        <w:rPr>
          <w:rFonts w:ascii="Verdana" w:hAnsi="Verdana"/>
          <w:sz w:val="22"/>
          <w:szCs w:val="22"/>
          <w:vertAlign w:val="subscript"/>
        </w:rPr>
        <w:t>[5]</w:t>
      </w:r>
      <w:r w:rsidRPr="00CA6B87">
        <w:rPr>
          <w:rFonts w:ascii="Verdana" w:hAnsi="Verdana"/>
          <w:sz w:val="22"/>
          <w:szCs w:val="22"/>
        </w:rPr>
        <w:t> El ámbito de respeto de dichos derechos y de prevención de cualquier abuso en su contra, es amplio, garantista y propende porque en todo momento y lugar los menores de edad gocen plenamente de dichos derechos.</w:t>
      </w:r>
    </w:p>
    <w:p w14:paraId="4B95E568" w14:textId="77777777" w:rsidR="00CA6B87" w:rsidRPr="00CA6B87" w:rsidRDefault="00CA6B87" w:rsidP="00CA6B87">
      <w:pPr>
        <w:jc w:val="both"/>
        <w:rPr>
          <w:rFonts w:ascii="Verdana" w:hAnsi="Verdana"/>
          <w:sz w:val="22"/>
          <w:szCs w:val="22"/>
        </w:rPr>
      </w:pPr>
      <w:r w:rsidRPr="00CA6B87">
        <w:rPr>
          <w:rFonts w:ascii="Verdana" w:hAnsi="Verdana"/>
          <w:sz w:val="22"/>
          <w:szCs w:val="22"/>
        </w:rPr>
        <w:t>Como se señaló, en atención al interés superior de los niños, niñas y adolescentes, existe una responsabilidad solidaria, conjunta y simultánea en cabeza de la familia, la sociedad y el Estado en cumplimiento de sus obligaciones básicas con los menores de edad y así como la responsabilidad de generar políticas públicas que garanticen y promuevan los derechos de la niñez y la adolescencia, así como la prevención de amenazas y vulneraciones.</w:t>
      </w:r>
    </w:p>
    <w:p w14:paraId="508E9EF9" w14:textId="3647E2D9" w:rsidR="00CA6B87" w:rsidRPr="00CA6B87" w:rsidRDefault="00CA6B87" w:rsidP="00CA6B87">
      <w:pPr>
        <w:jc w:val="both"/>
        <w:rPr>
          <w:rFonts w:ascii="Verdana" w:hAnsi="Verdana"/>
          <w:sz w:val="22"/>
          <w:szCs w:val="22"/>
        </w:rPr>
      </w:pPr>
      <w:r w:rsidRPr="00CA6B87">
        <w:rPr>
          <w:rFonts w:ascii="Verdana" w:hAnsi="Verdana"/>
          <w:sz w:val="22"/>
          <w:szCs w:val="22"/>
        </w:rPr>
        <w:t>En tal sentido, la Ley 1098 de 2006 pretendió seguir profundizando en estos objetivos y en el fortalecimiento del cumplimiento, de los estándares internacionales en materia de infancia y adolescencia, por parte del Estado colombiano, es así como en el artículo 7 consagró dicho principio de la protección integral.</w:t>
      </w:r>
      <w:r w:rsidRPr="00CA6B87">
        <w:rPr>
          <w:rFonts w:ascii="Verdana" w:hAnsi="Verdana"/>
          <w:sz w:val="22"/>
          <w:szCs w:val="22"/>
          <w:vertAlign w:val="subscript"/>
        </w:rPr>
        <w:t>[6]</w:t>
      </w:r>
    </w:p>
    <w:p w14:paraId="0A758848" w14:textId="0E64ECF5" w:rsidR="00CA6B87" w:rsidRPr="00CA6B87" w:rsidRDefault="00CA6B87" w:rsidP="00CA6B87">
      <w:pPr>
        <w:jc w:val="both"/>
        <w:rPr>
          <w:rFonts w:ascii="Verdana" w:hAnsi="Verdana"/>
          <w:sz w:val="22"/>
          <w:szCs w:val="22"/>
        </w:rPr>
      </w:pPr>
      <w:r w:rsidRPr="00CA6B87">
        <w:rPr>
          <w:rFonts w:ascii="Verdana" w:hAnsi="Verdana"/>
          <w:sz w:val="22"/>
          <w:szCs w:val="22"/>
        </w:rPr>
        <w:t>En sentencia T-1015 de 2010, la Corte Constitucional hizo énfasis en la calidad de los menores de edad como sujetos de especial protección constitucional, en la que en uno de sus apartes se pronunció así: </w:t>
      </w:r>
      <w:r w:rsidRPr="00CA6B87">
        <w:rPr>
          <w:rFonts w:ascii="Verdana" w:hAnsi="Verdana"/>
          <w:i/>
          <w:iCs/>
          <w:sz w:val="22"/>
          <w:szCs w:val="22"/>
        </w:rPr>
        <w:t>"La jurisprudencia de esta Corporación ha establecido que los niños, niñas y adolescentes son sujetos de especial protección constitucional, lo que implica que la satisfacción de sus derechos e intereses constituye un objetivo esencial para la sociedad y las autoridades estatales, por lo que la adecuada protección de los niños, niñas y adolescentes debe ser perseguida en toda actuación estatal que involucre a los Menores.</w:t>
      </w:r>
      <w:r w:rsidRPr="00CA6B87">
        <w:rPr>
          <w:rFonts w:ascii="Verdana" w:hAnsi="Verdana"/>
          <w:i/>
          <w:iCs/>
          <w:sz w:val="22"/>
          <w:szCs w:val="22"/>
          <w:vertAlign w:val="subscript"/>
        </w:rPr>
        <w:t>[7]</w:t>
      </w:r>
    </w:p>
    <w:p w14:paraId="59F9F31E" w14:textId="77777777" w:rsidR="00CA6B87" w:rsidRPr="00CA6B87" w:rsidRDefault="00CA6B87" w:rsidP="00CA6B87">
      <w:pPr>
        <w:jc w:val="both"/>
        <w:rPr>
          <w:rFonts w:ascii="Verdana" w:hAnsi="Verdana"/>
          <w:sz w:val="22"/>
          <w:szCs w:val="22"/>
        </w:rPr>
      </w:pPr>
      <w:r w:rsidRPr="00CA6B87">
        <w:rPr>
          <w:rFonts w:ascii="Verdana" w:hAnsi="Verdana"/>
          <w:sz w:val="22"/>
          <w:szCs w:val="22"/>
        </w:rPr>
        <w:t>Como ya se dijo, en aras de dar cumplimiento al principio de protección integral de niños, niñas y adolescentes, se hace necesaria su efectiva protección, así como la prevención de cualquier amenaza, inobservancia o vulneración, labor en la que deben participar de manera articulada la familia, la sociedad y el Estado, garantizando el restablecimiento de los derechos que así lo requieran.</w:t>
      </w:r>
    </w:p>
    <w:p w14:paraId="64F0B23E" w14:textId="6D1361BB" w:rsidR="00CA6B87" w:rsidRPr="00CA6B87" w:rsidRDefault="00CA6B87" w:rsidP="00CA6B87">
      <w:pPr>
        <w:pStyle w:val="Prrafodelista"/>
        <w:numPr>
          <w:ilvl w:val="1"/>
          <w:numId w:val="4"/>
        </w:numPr>
        <w:jc w:val="both"/>
        <w:rPr>
          <w:rFonts w:ascii="Verdana" w:hAnsi="Verdana"/>
          <w:sz w:val="22"/>
          <w:szCs w:val="22"/>
        </w:rPr>
      </w:pPr>
      <w:r w:rsidRPr="00CA6B87">
        <w:rPr>
          <w:rFonts w:ascii="Verdana" w:hAnsi="Verdana"/>
          <w:b/>
          <w:bCs/>
          <w:sz w:val="22"/>
          <w:szCs w:val="22"/>
        </w:rPr>
        <w:t>- De la Patria Potestad.</w:t>
      </w:r>
    </w:p>
    <w:p w14:paraId="00F2E765" w14:textId="61BAAE25" w:rsidR="00CA6B87" w:rsidRPr="00CA6B87" w:rsidRDefault="00CA6B87" w:rsidP="00CA6B87">
      <w:pPr>
        <w:jc w:val="both"/>
        <w:rPr>
          <w:rFonts w:ascii="Verdana" w:hAnsi="Verdana"/>
          <w:sz w:val="22"/>
          <w:szCs w:val="22"/>
        </w:rPr>
      </w:pPr>
      <w:r w:rsidRPr="00CA6B87">
        <w:rPr>
          <w:rFonts w:ascii="Verdana" w:hAnsi="Verdana"/>
          <w:sz w:val="22"/>
          <w:szCs w:val="22"/>
        </w:rPr>
        <w:t>Según el artículo 288 del Código Civil, la patria potestad </w:t>
      </w:r>
      <w:r w:rsidRPr="00CA6B87">
        <w:rPr>
          <w:rFonts w:ascii="Verdana" w:hAnsi="Verdana"/>
          <w:i/>
          <w:iCs/>
          <w:sz w:val="22"/>
          <w:szCs w:val="22"/>
        </w:rPr>
        <w:t>"es el conjunto de derechos y obligaciones que la ley reconoce a los padres sobre sus hijos no emancipados, para facilitar a aquellos al cumplimiento de los deberes que su calidad les impone".</w:t>
      </w:r>
    </w:p>
    <w:p w14:paraId="01A3AC44" w14:textId="108EA1E5" w:rsidR="00CA6B87" w:rsidRPr="00CA6B87" w:rsidRDefault="00CA6B87" w:rsidP="00CA6B87">
      <w:pPr>
        <w:jc w:val="both"/>
        <w:rPr>
          <w:rFonts w:ascii="Verdana" w:hAnsi="Verdana"/>
          <w:sz w:val="22"/>
          <w:szCs w:val="22"/>
        </w:rPr>
      </w:pPr>
      <w:r w:rsidRPr="00CA6B87">
        <w:rPr>
          <w:rFonts w:ascii="Verdana" w:hAnsi="Verdana"/>
          <w:sz w:val="22"/>
          <w:szCs w:val="22"/>
        </w:rPr>
        <w:t xml:space="preserve">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w:t>
      </w:r>
      <w:r w:rsidRPr="00CA6B87">
        <w:rPr>
          <w:rFonts w:ascii="Verdana" w:hAnsi="Verdana"/>
          <w:sz w:val="22"/>
          <w:szCs w:val="22"/>
        </w:rPr>
        <w:lastRenderedPageBreak/>
        <w:t>proceso de formación, y proscribe todo acto de violencia física o psicológica en el ejercicio de esa responsabilidad o los "... </w:t>
      </w:r>
      <w:r w:rsidRPr="00CA6B87">
        <w:rPr>
          <w:rFonts w:ascii="Verdana" w:hAnsi="Verdana"/>
          <w:i/>
          <w:iCs/>
          <w:sz w:val="22"/>
          <w:szCs w:val="22"/>
        </w:rPr>
        <w:t>actos que impidan el ejercicio de sus derechos".</w:t>
      </w:r>
    </w:p>
    <w:p w14:paraId="7F14645F" w14:textId="49F408CA" w:rsidR="00CA6B87" w:rsidRPr="00CA6B87" w:rsidRDefault="00CA6B87" w:rsidP="00CA6B87">
      <w:pPr>
        <w:jc w:val="both"/>
        <w:rPr>
          <w:rFonts w:ascii="Verdana" w:hAnsi="Verdana"/>
          <w:sz w:val="22"/>
          <w:szCs w:val="22"/>
        </w:rPr>
      </w:pPr>
      <w:r w:rsidRPr="00CA6B87">
        <w:rPr>
          <w:rFonts w:ascii="Verdana" w:hAnsi="Verdana"/>
          <w:sz w:val="22"/>
          <w:szCs w:val="22"/>
        </w:rPr>
        <w:t>Frente al tema de la patria potestad, la Corte Constitucional en sentencia C-1003/07</w:t>
      </w:r>
      <w:r w:rsidRPr="00CA6B87">
        <w:rPr>
          <w:rFonts w:ascii="Verdana" w:hAnsi="Verdana"/>
          <w:sz w:val="22"/>
          <w:szCs w:val="22"/>
          <w:vertAlign w:val="subscript"/>
        </w:rPr>
        <w:t>[8]</w:t>
      </w:r>
      <w:r w:rsidRPr="00CA6B87">
        <w:rPr>
          <w:rFonts w:ascii="Verdana" w:hAnsi="Verdana"/>
          <w:sz w:val="22"/>
          <w:szCs w:val="22"/>
        </w:rPr>
        <w:t> manifestó:</w:t>
      </w:r>
    </w:p>
    <w:p w14:paraId="4C5B9AA4" w14:textId="77777777" w:rsidR="00CA6B87" w:rsidRPr="00CA6B87" w:rsidRDefault="00CA6B87" w:rsidP="00CA6B87">
      <w:pPr>
        <w:jc w:val="both"/>
        <w:rPr>
          <w:rFonts w:ascii="Verdana" w:hAnsi="Verdana"/>
          <w:sz w:val="22"/>
          <w:szCs w:val="22"/>
        </w:rPr>
      </w:pPr>
      <w:r w:rsidRPr="00CA6B87">
        <w:rPr>
          <w:rFonts w:ascii="Verdana" w:hAnsi="Verdana"/>
          <w:i/>
          <w:iCs/>
          <w:sz w:val="22"/>
          <w:szCs w:val="22"/>
        </w:rPr>
        <w:t>“En armonía con la citada disposición,</w:t>
      </w:r>
      <w:r w:rsidRPr="00CA6B87">
        <w:rPr>
          <w:rFonts w:ascii="Verdana" w:hAnsi="Verdana"/>
          <w:sz w:val="22"/>
          <w:szCs w:val="22"/>
        </w:rPr>
        <w:t> </w:t>
      </w:r>
      <w:r w:rsidRPr="00CA6B87">
        <w:rPr>
          <w:rFonts w:ascii="Verdana" w:hAnsi="Verdana"/>
          <w:i/>
          <w:iCs/>
          <w:sz w:val="22"/>
          <w:szCs w:val="22"/>
        </w:rPr>
        <w:t xml:space="preserve">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CA6B87">
        <w:rPr>
          <w:rFonts w:ascii="Verdana" w:hAnsi="Verdana"/>
          <w:i/>
          <w:iCs/>
          <w:sz w:val="22"/>
          <w:szCs w:val="22"/>
        </w:rPr>
        <w:t>y</w:t>
      </w:r>
      <w:proofErr w:type="gramEnd"/>
      <w:r w:rsidRPr="00CA6B87">
        <w:rPr>
          <w:rFonts w:ascii="Verdana" w:hAnsi="Verdana"/>
          <w:i/>
          <w:iCs/>
          <w:sz w:val="22"/>
          <w:szCs w:val="22"/>
        </w:rPr>
        <w:t xml:space="preserve"> en consecuencia, el incumplimiento de los deberes de los padres puede conducir a su pérdida o suspensión.</w:t>
      </w:r>
    </w:p>
    <w:p w14:paraId="71485620" w14:textId="77777777" w:rsidR="00CA6B87" w:rsidRPr="00CA6B87" w:rsidRDefault="00CA6B87" w:rsidP="00CA6B87">
      <w:pPr>
        <w:jc w:val="both"/>
        <w:rPr>
          <w:rFonts w:ascii="Verdana" w:hAnsi="Verdana"/>
          <w:sz w:val="22"/>
          <w:szCs w:val="22"/>
        </w:rPr>
      </w:pPr>
      <w:r w:rsidRPr="00CA6B87">
        <w:rPr>
          <w:rFonts w:ascii="Verdana" w:hAnsi="Verdana"/>
          <w:i/>
          <w:iCs/>
          <w:sz w:val="22"/>
          <w:szCs w:val="22"/>
        </w:rPr>
        <w:t>En efecto, la patria potestad hace referencia</w:t>
      </w:r>
      <w:r w:rsidRPr="00CA6B87">
        <w:rPr>
          <w:rFonts w:ascii="Verdana" w:hAnsi="Verdana"/>
          <w:sz w:val="22"/>
          <w:szCs w:val="22"/>
        </w:rPr>
        <w:t> a </w:t>
      </w:r>
      <w:r w:rsidRPr="00CA6B87">
        <w:rPr>
          <w:rFonts w:ascii="Verdana" w:hAnsi="Verdana"/>
          <w:i/>
          <w:iCs/>
          <w:sz w:val="22"/>
          <w:szCs w:val="22"/>
        </w:rPr>
        <w:t xml:space="preserve">un régimen </w:t>
      </w:r>
      <w:proofErr w:type="gramStart"/>
      <w:r w:rsidRPr="00CA6B87">
        <w:rPr>
          <w:rFonts w:ascii="Verdana" w:hAnsi="Verdana"/>
          <w:i/>
          <w:iCs/>
          <w:sz w:val="22"/>
          <w:szCs w:val="22"/>
        </w:rPr>
        <w:t>paterno-filial</w:t>
      </w:r>
      <w:proofErr w:type="gramEnd"/>
      <w:r w:rsidRPr="00CA6B87">
        <w:rPr>
          <w:rFonts w:ascii="Verdana" w:hAnsi="Verdana"/>
          <w:i/>
          <w:iCs/>
          <w:sz w:val="22"/>
          <w:szCs w:val="22"/>
        </w:rPr>
        <w:t xml:space="preserve"> de protección del hijo menor no emancipado, en cabeza de sus padres, que no deriva del matrimonio de éstos pues surge por ministerio de la ley independientemente a la existencia de dicho vinculo”.</w:t>
      </w:r>
    </w:p>
    <w:p w14:paraId="7F1CED93" w14:textId="77777777" w:rsidR="00CA6B87" w:rsidRPr="00CA6B87" w:rsidRDefault="00CA6B87" w:rsidP="00CA6B87">
      <w:pPr>
        <w:jc w:val="both"/>
        <w:rPr>
          <w:rFonts w:ascii="Verdana" w:hAnsi="Verdana"/>
          <w:sz w:val="22"/>
          <w:szCs w:val="22"/>
        </w:rPr>
      </w:pPr>
      <w:r w:rsidRPr="00CA6B87">
        <w:rPr>
          <w:rFonts w:ascii="Verdana" w:hAnsi="Verdana"/>
          <w:sz w:val="22"/>
          <w:szCs w:val="22"/>
        </w:rPr>
        <w:t>Como características de la patria potestad tenemos las siguientes, según se alude en la referida sentencia:</w:t>
      </w:r>
    </w:p>
    <w:p w14:paraId="13D32C99" w14:textId="35DC0003" w:rsidR="00CA6B87" w:rsidRPr="00CA6B87" w:rsidRDefault="00CA6B87" w:rsidP="00CA6B87">
      <w:pPr>
        <w:pStyle w:val="Prrafodelista"/>
        <w:numPr>
          <w:ilvl w:val="0"/>
          <w:numId w:val="6"/>
        </w:numPr>
        <w:jc w:val="both"/>
        <w:rPr>
          <w:rFonts w:ascii="Verdana" w:hAnsi="Verdana"/>
          <w:sz w:val="22"/>
          <w:szCs w:val="22"/>
        </w:rPr>
      </w:pPr>
      <w:r w:rsidRPr="00CA6B87">
        <w:rPr>
          <w:rFonts w:ascii="Verdana" w:hAnsi="Verdana"/>
          <w:i/>
          <w:iCs/>
          <w:sz w:val="22"/>
          <w:szCs w:val="22"/>
        </w:rPr>
        <w:t>Se aplica excesivamente como un régimen de protección a hijos menores no emancipados.</w:t>
      </w:r>
    </w:p>
    <w:p w14:paraId="2762975D" w14:textId="05D6D775" w:rsidR="00CA6B87" w:rsidRPr="00CA6B87" w:rsidRDefault="00CA6B87" w:rsidP="00CA6B87">
      <w:pPr>
        <w:pStyle w:val="Prrafodelista"/>
        <w:numPr>
          <w:ilvl w:val="0"/>
          <w:numId w:val="6"/>
        </w:numPr>
        <w:jc w:val="both"/>
        <w:rPr>
          <w:rFonts w:ascii="Verdana" w:hAnsi="Verdana"/>
          <w:sz w:val="22"/>
          <w:szCs w:val="22"/>
        </w:rPr>
      </w:pPr>
      <w:r w:rsidRPr="00CA6B87">
        <w:rPr>
          <w:rFonts w:ascii="Verdana" w:hAnsi="Verdana"/>
          <w:i/>
          <w:iCs/>
          <w:sz w:val="22"/>
          <w:szCs w:val="22"/>
        </w:rPr>
        <w:t>Es obligatoria e irrenunciable pues los padres tienen la patria potestad, salvo que la ley los prive de ella o los excluya de su ejercicio.</w:t>
      </w:r>
    </w:p>
    <w:p w14:paraId="0C55A3F4" w14:textId="0B118B66" w:rsidR="00CA6B87" w:rsidRPr="00CA6B87" w:rsidRDefault="00CA6B87" w:rsidP="00CA6B87">
      <w:pPr>
        <w:pStyle w:val="Prrafodelista"/>
        <w:numPr>
          <w:ilvl w:val="0"/>
          <w:numId w:val="6"/>
        </w:numPr>
        <w:jc w:val="both"/>
        <w:rPr>
          <w:rFonts w:ascii="Verdana" w:hAnsi="Verdana"/>
          <w:sz w:val="22"/>
          <w:szCs w:val="22"/>
        </w:rPr>
      </w:pPr>
      <w:r w:rsidRPr="00CA6B87">
        <w:rPr>
          <w:rFonts w:ascii="Verdana" w:hAnsi="Verdana"/>
          <w:i/>
          <w:iCs/>
          <w:sz w:val="22"/>
          <w:szCs w:val="22"/>
        </w:rPr>
        <w:t>Es personal e intransmisible porque son los padres quienes deberán ejercerla a no ser que la misma ley los excluya de su ejercicio.</w:t>
      </w:r>
    </w:p>
    <w:p w14:paraId="4C7F80F6" w14:textId="5D4B2C15" w:rsidR="00CA6B87" w:rsidRPr="00CA6B87" w:rsidRDefault="00CA6B87" w:rsidP="00CA6B87">
      <w:pPr>
        <w:pStyle w:val="Prrafodelista"/>
        <w:numPr>
          <w:ilvl w:val="0"/>
          <w:numId w:val="6"/>
        </w:numPr>
        <w:jc w:val="both"/>
        <w:rPr>
          <w:rFonts w:ascii="Verdana" w:hAnsi="Verdana"/>
          <w:sz w:val="22"/>
          <w:szCs w:val="22"/>
        </w:rPr>
      </w:pPr>
      <w:r w:rsidRPr="00CA6B87">
        <w:rPr>
          <w:rFonts w:ascii="Verdana" w:hAnsi="Verdana"/>
          <w:i/>
          <w:iCs/>
          <w:sz w:val="22"/>
          <w:szCs w:val="22"/>
        </w:rPr>
        <w:t>Es indisponible, porque el ejercicio de la patria potestad no puede ser atribuido, modificado, regulado ni extinguido por la propia voluntad privada sino en los casos en que la misma ley lo permita</w:t>
      </w:r>
    </w:p>
    <w:p w14:paraId="5283357B" w14:textId="5F19BAEB" w:rsidR="00CA6B87" w:rsidRPr="00CA6B87" w:rsidRDefault="00CA6B87" w:rsidP="00CA6B87">
      <w:pPr>
        <w:pStyle w:val="Prrafodelista"/>
        <w:numPr>
          <w:ilvl w:val="0"/>
          <w:numId w:val="6"/>
        </w:numPr>
        <w:jc w:val="both"/>
        <w:rPr>
          <w:rFonts w:ascii="Verdana" w:hAnsi="Verdana"/>
          <w:sz w:val="22"/>
          <w:szCs w:val="22"/>
        </w:rPr>
      </w:pPr>
      <w:r w:rsidRPr="00CA6B87">
        <w:rPr>
          <w:rFonts w:ascii="Verdana" w:hAnsi="Verdana"/>
          <w:i/>
          <w:iCs/>
          <w:sz w:val="22"/>
          <w:szCs w:val="22"/>
        </w:rPr>
        <w:t>Constituye una labor gratuita, porque es un deber de los padres.</w:t>
      </w:r>
    </w:p>
    <w:p w14:paraId="0EA7A0E7" w14:textId="7B16B373" w:rsidR="00CA6B87" w:rsidRPr="00CA6B87" w:rsidRDefault="00CA6B87" w:rsidP="00CA6B87">
      <w:pPr>
        <w:pStyle w:val="Prrafodelista"/>
        <w:numPr>
          <w:ilvl w:val="0"/>
          <w:numId w:val="6"/>
        </w:numPr>
        <w:jc w:val="both"/>
        <w:rPr>
          <w:rFonts w:ascii="Verdana" w:hAnsi="Verdana"/>
          <w:sz w:val="22"/>
          <w:szCs w:val="22"/>
        </w:rPr>
      </w:pPr>
      <w:r w:rsidRPr="00CA6B87">
        <w:rPr>
          <w:rFonts w:ascii="Verdana" w:hAnsi="Verdana"/>
          <w:i/>
          <w:iCs/>
          <w:sz w:val="22"/>
          <w:szCs w:val="22"/>
        </w:rPr>
        <w:t>La patria potestad debe ser ejercida personalmente por el padre o por la madre.</w:t>
      </w:r>
    </w:p>
    <w:p w14:paraId="4FD48300" w14:textId="7E45B792" w:rsidR="00CA6B87" w:rsidRPr="00CA6B87" w:rsidRDefault="00CA6B87" w:rsidP="00CA6B87">
      <w:pPr>
        <w:jc w:val="both"/>
        <w:rPr>
          <w:rFonts w:ascii="Verdana" w:hAnsi="Verdana"/>
          <w:sz w:val="22"/>
          <w:szCs w:val="22"/>
        </w:rPr>
      </w:pPr>
      <w:r w:rsidRPr="00CA6B87">
        <w:rPr>
          <w:rFonts w:ascii="Verdana" w:hAnsi="Verdana"/>
          <w:sz w:val="22"/>
          <w:szCs w:val="22"/>
        </w:rPr>
        <w:t>Respecto a los derechos que otorga la patria potestad a los padres del menor de edad en sentencia C-145/10 la Corte Constitucional indicó que estos se reducen a: (i) al usufructo de los bienes del hijo, (</w:t>
      </w:r>
      <w:proofErr w:type="spellStart"/>
      <w:r w:rsidRPr="00CA6B87">
        <w:rPr>
          <w:rFonts w:ascii="Verdana" w:hAnsi="Verdana"/>
          <w:sz w:val="22"/>
          <w:szCs w:val="22"/>
        </w:rPr>
        <w:t>ii</w:t>
      </w:r>
      <w:proofErr w:type="spellEnd"/>
      <w:r w:rsidRPr="00CA6B87">
        <w:rPr>
          <w:rFonts w:ascii="Verdana" w:hAnsi="Verdana"/>
          <w:sz w:val="22"/>
          <w:szCs w:val="22"/>
        </w:rPr>
        <w:t>) al de administración de esos bienes, y (</w:t>
      </w:r>
      <w:proofErr w:type="spellStart"/>
      <w:r w:rsidRPr="00CA6B87">
        <w:rPr>
          <w:rFonts w:ascii="Verdana" w:hAnsi="Verdana"/>
          <w:sz w:val="22"/>
          <w:szCs w:val="22"/>
        </w:rPr>
        <w:t>iii</w:t>
      </w:r>
      <w:proofErr w:type="spellEnd"/>
      <w:r w:rsidRPr="00CA6B87">
        <w:rPr>
          <w:rFonts w:ascii="Verdana" w:hAnsi="Verdana"/>
          <w:sz w:val="22"/>
          <w:szCs w:val="22"/>
        </w:rPr>
        <w:t xml:space="preserve">) al de representación judicial y extrajudicial del hijo. En relación con el derecho de representación, la legislación establece que el mismo es de dos clases: extrajudicial y judicial. El primero, se refiere a la representación que </w:t>
      </w:r>
      <w:r w:rsidRPr="00CA6B87">
        <w:rPr>
          <w:rFonts w:ascii="Verdana" w:hAnsi="Verdana"/>
          <w:sz w:val="22"/>
          <w:szCs w:val="22"/>
        </w:rPr>
        <w:lastRenderedPageBreak/>
        <w:t>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llevados a cabo, no sólo ante los jueces, sino también ante cualquier autoridad o particular en que deba participar o intervenir el hijo de familia, ya sea como titular de derechos o como sujeto a quien se le imputan responsabilidades u obligaciones En cuanto a los derechos de administración y usufructo, estos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aspectos que a su vez constituyen derechos fundamentales de éste.</w:t>
      </w:r>
    </w:p>
    <w:p w14:paraId="26B282F9" w14:textId="77777777" w:rsidR="00CA6B87" w:rsidRPr="00CA6B87" w:rsidRDefault="00CA6B87" w:rsidP="00CA6B87">
      <w:pPr>
        <w:jc w:val="both"/>
        <w:rPr>
          <w:rFonts w:ascii="Verdana" w:hAnsi="Verdana"/>
          <w:sz w:val="22"/>
          <w:szCs w:val="22"/>
        </w:rPr>
      </w:pPr>
      <w:r w:rsidRPr="00CA6B87">
        <w:rPr>
          <w:rFonts w:ascii="Verdana" w:hAnsi="Verdana"/>
          <w:sz w:val="22"/>
          <w:szCs w:val="22"/>
        </w:rPr>
        <w:t xml:space="preserve">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w:t>
      </w:r>
      <w:proofErr w:type="gramStart"/>
      <w:r w:rsidRPr="00CA6B87">
        <w:rPr>
          <w:rFonts w:ascii="Verdana" w:hAnsi="Verdana"/>
          <w:sz w:val="22"/>
          <w:szCs w:val="22"/>
        </w:rPr>
        <w:t>del  menor</w:t>
      </w:r>
      <w:proofErr w:type="gramEnd"/>
      <w:r w:rsidRPr="00CA6B87">
        <w:rPr>
          <w:rFonts w:ascii="Verdana" w:hAnsi="Verdana"/>
          <w:sz w:val="22"/>
          <w:szCs w:val="22"/>
        </w:rPr>
        <w:t>, atribuidos en virtud de la relación parental, a la autoridad de los padres.</w:t>
      </w:r>
    </w:p>
    <w:p w14:paraId="29575A7B" w14:textId="4EC0A358" w:rsidR="00CA6B87" w:rsidRPr="00CA6B87" w:rsidRDefault="00CA6B87" w:rsidP="00CA6B87">
      <w:pPr>
        <w:jc w:val="both"/>
        <w:rPr>
          <w:rFonts w:ascii="Verdana" w:hAnsi="Verdana"/>
          <w:sz w:val="22"/>
          <w:szCs w:val="22"/>
        </w:rPr>
      </w:pPr>
      <w:r w:rsidRPr="00CA6B87">
        <w:rPr>
          <w:rFonts w:ascii="Verdana" w:hAnsi="Verdana"/>
          <w:sz w:val="22"/>
          <w:szCs w:val="22"/>
        </w:rPr>
        <w:t xml:space="preserve">Es decir que la patria potestad corresponde de manera privativa y conjunta a los padres, que solo puede ser ejercida por ellos, lo cual significa que la misma no rebasa el ámbito de la familia, ejerciéndose además respecto de todos los hijos, incluyendo los adoptivos. Es por ello </w:t>
      </w:r>
      <w:proofErr w:type="gramStart"/>
      <w:r w:rsidRPr="00CA6B87">
        <w:rPr>
          <w:rFonts w:ascii="Verdana" w:hAnsi="Verdana"/>
          <w:sz w:val="22"/>
          <w:szCs w:val="22"/>
        </w:rPr>
        <w:t>que</w:t>
      </w:r>
      <w:proofErr w:type="gramEnd"/>
      <w:r w:rsidRPr="00CA6B87">
        <w:rPr>
          <w:rFonts w:ascii="Verdana" w:hAnsi="Verdana"/>
          <w:sz w:val="22"/>
          <w:szCs w:val="22"/>
        </w:rPr>
        <w:t xml:space="preserve"> la propia ley prevé </w:t>
      </w:r>
      <w:proofErr w:type="gramStart"/>
      <w:r w:rsidRPr="00CA6B87">
        <w:rPr>
          <w:rFonts w:ascii="Verdana" w:hAnsi="Verdana"/>
          <w:sz w:val="22"/>
          <w:szCs w:val="22"/>
        </w:rPr>
        <w:t>que</w:t>
      </w:r>
      <w:proofErr w:type="gramEnd"/>
      <w:r w:rsidRPr="00CA6B87">
        <w:rPr>
          <w:rFonts w:ascii="Verdana" w:hAnsi="Verdana"/>
          <w:sz w:val="22"/>
          <w:szCs w:val="22"/>
        </w:rPr>
        <w:t xml:space="preserve"> a falta de uno de los padres, la patria potestad será ejercida por el otro, existiendo también la posibilidad de que, en algunos aspectos, sea delegada entre ellos mismos, del uno al otro (Código Civil artículos 288 y 307).</w:t>
      </w:r>
    </w:p>
    <w:p w14:paraId="1736FA3A" w14:textId="77777777" w:rsidR="00CA6B87" w:rsidRPr="00CA6B87" w:rsidRDefault="00CA6B87" w:rsidP="00CA6B87">
      <w:pPr>
        <w:jc w:val="both"/>
        <w:rPr>
          <w:rFonts w:ascii="Verdana" w:hAnsi="Verdana"/>
          <w:sz w:val="22"/>
          <w:szCs w:val="22"/>
        </w:rPr>
      </w:pPr>
      <w:r w:rsidRPr="00CA6B87">
        <w:rPr>
          <w:rFonts w:ascii="Verdana" w:hAnsi="Verdana"/>
          <w:sz w:val="22"/>
          <w:szCs w:val="22"/>
        </w:rPr>
        <w:t xml:space="preserve">Respecto a la patria potestad, la Corte ha indicado que es de orden </w:t>
      </w:r>
      <w:proofErr w:type="gramStart"/>
      <w:r w:rsidRPr="00CA6B87">
        <w:rPr>
          <w:rFonts w:ascii="Verdana" w:hAnsi="Verdana"/>
          <w:sz w:val="22"/>
          <w:szCs w:val="22"/>
        </w:rPr>
        <w:t>público obligatoria</w:t>
      </w:r>
      <w:proofErr w:type="gramEnd"/>
      <w:r w:rsidRPr="00CA6B87">
        <w:rPr>
          <w:rFonts w:ascii="Verdana" w:hAnsi="Verdana"/>
          <w:sz w:val="22"/>
          <w:szCs w:val="22"/>
        </w:rPr>
        <w:t xml:space="preserve"> e irrenunciable, personal e intransferible, e indisponible, pues es deber de los padres ejercerla en interés del menor, sin que tal ejercicio pueda ser atribuido, modificado, regulado ni extinguido por la propia voluntad privada, sino en los casos que la propia ley lo permita.</w:t>
      </w:r>
    </w:p>
    <w:p w14:paraId="332A38DF" w14:textId="77777777" w:rsidR="00CA6B87" w:rsidRPr="00CA6B87" w:rsidRDefault="00CA6B87" w:rsidP="00CA6B87">
      <w:pPr>
        <w:jc w:val="both"/>
        <w:rPr>
          <w:rFonts w:ascii="Verdana" w:hAnsi="Verdana"/>
          <w:sz w:val="22"/>
          <w:szCs w:val="22"/>
        </w:rPr>
      </w:pPr>
      <w:r w:rsidRPr="00CA6B87">
        <w:rPr>
          <w:rFonts w:ascii="Verdana" w:hAnsi="Verdana"/>
          <w:sz w:val="22"/>
          <w:szCs w:val="22"/>
        </w:rPr>
        <w:t xml:space="preserve">Los padres, de común acuerdo, mediante la conciliación extrajudicial, no pueden terminar o suspender el ejercicio de </w:t>
      </w:r>
      <w:proofErr w:type="gramStart"/>
      <w:r w:rsidRPr="00CA6B87">
        <w:rPr>
          <w:rFonts w:ascii="Verdana" w:hAnsi="Verdana"/>
          <w:sz w:val="22"/>
          <w:szCs w:val="22"/>
        </w:rPr>
        <w:t>la misma</w:t>
      </w:r>
      <w:proofErr w:type="gramEnd"/>
      <w:r w:rsidRPr="00CA6B87">
        <w:rPr>
          <w:rFonts w:ascii="Verdana" w:hAnsi="Verdana"/>
          <w:sz w:val="22"/>
          <w:szCs w:val="22"/>
        </w:rPr>
        <w:t xml:space="preserve"> sobre su menor hijo, es decir, no </w:t>
      </w:r>
      <w:r w:rsidRPr="00CA6B87">
        <w:rPr>
          <w:rFonts w:ascii="Verdana" w:hAnsi="Verdana"/>
          <w:sz w:val="22"/>
          <w:szCs w:val="22"/>
        </w:rPr>
        <w:lastRenderedPageBreak/>
        <w:t>pueden "suspenderla o perderla" para sustraerse a las obligaciones que constitucional y legalmente le son exigibles para con sus hijos. La pérdida o suspensión de la patria potestad, por ser ésta una institución jurídica constitucional y legalmente irrenunciable, intransferible, imprescriptible y temporal, debe ser decretada mediante sentencia por la autoridad judicial competente</w:t>
      </w:r>
    </w:p>
    <w:p w14:paraId="75D48685" w14:textId="2E681F55" w:rsidR="00CA6B87" w:rsidRPr="00CA6B87" w:rsidRDefault="00CA6B87" w:rsidP="00CA6B87">
      <w:pPr>
        <w:jc w:val="both"/>
        <w:rPr>
          <w:rFonts w:ascii="Verdana" w:hAnsi="Verdana"/>
          <w:sz w:val="22"/>
          <w:szCs w:val="22"/>
        </w:rPr>
      </w:pPr>
      <w:r w:rsidRPr="00CA6B87">
        <w:rPr>
          <w:rFonts w:ascii="Verdana" w:hAnsi="Verdana"/>
          <w:sz w:val="22"/>
          <w:szCs w:val="22"/>
        </w:rPr>
        <w:t>Ahora bien, el artículo 14 de la Ley 1098 de 2006 consagra la responsabilidad parental definiéndola de la siguiente manera </w:t>
      </w:r>
      <w:r w:rsidRPr="00CA6B87">
        <w:rPr>
          <w:rFonts w:ascii="Verdana" w:hAnsi="Verdana"/>
          <w:i/>
          <w:iCs/>
          <w:sz w:val="22"/>
          <w:szCs w:val="22"/>
        </w:rPr>
        <w:t>“es </w:t>
      </w:r>
      <w:r w:rsidRPr="00CA6B87">
        <w:rPr>
          <w:rFonts w:ascii="Verdana" w:hAnsi="Verdana"/>
          <w:sz w:val="22"/>
          <w:szCs w:val="22"/>
        </w:rPr>
        <w:t xml:space="preserve">un complemento de la patria potestad establecida en la legislación civil. </w:t>
      </w:r>
      <w:proofErr w:type="gramStart"/>
      <w:r w:rsidRPr="00CA6B87">
        <w:rPr>
          <w:rFonts w:ascii="Verdana" w:hAnsi="Verdana"/>
          <w:sz w:val="22"/>
          <w:szCs w:val="22"/>
        </w:rPr>
        <w:t>Es</w:t>
      </w:r>
      <w:proofErr w:type="gramEnd"/>
      <w:r w:rsidRPr="00CA6B87">
        <w:rPr>
          <w:rFonts w:ascii="Verdana" w:hAnsi="Verdana"/>
          <w:sz w:val="22"/>
          <w:szCs w:val="22"/>
        </w:rPr>
        <w:t xml:space="preserve"> además, la obligación inherente a la orientación, cuidado acompañamiento y crianza de los niños, las niñas y los adolescentes durante su proceso de formación. Esto incluye la responsabilidad compartida y solidaria del padre y la madre de asegurarse que los niños, las niñas y los adolescentes puedan lograr el máximo nivel de satisfacción de sus derechos”. (La negrilla es fuera del texto)</w:t>
      </w:r>
    </w:p>
    <w:p w14:paraId="75398F67" w14:textId="091D9BEE" w:rsidR="00CA6B87" w:rsidRPr="00CA6B87" w:rsidRDefault="00CA6B87" w:rsidP="00CA6B87">
      <w:pPr>
        <w:pStyle w:val="Prrafodelista"/>
        <w:numPr>
          <w:ilvl w:val="1"/>
          <w:numId w:val="4"/>
        </w:numPr>
        <w:jc w:val="both"/>
        <w:rPr>
          <w:rFonts w:ascii="Verdana" w:hAnsi="Verdana"/>
          <w:sz w:val="22"/>
          <w:szCs w:val="22"/>
        </w:rPr>
      </w:pPr>
      <w:r w:rsidRPr="00CA6B87">
        <w:rPr>
          <w:rFonts w:ascii="Verdana" w:hAnsi="Verdana"/>
          <w:b/>
          <w:bCs/>
          <w:sz w:val="22"/>
          <w:szCs w:val="22"/>
        </w:rPr>
        <w:t>- La Custodia y Cuidado Personal</w:t>
      </w:r>
    </w:p>
    <w:p w14:paraId="3C3F629F" w14:textId="77777777" w:rsidR="00CA6B87" w:rsidRPr="00CA6B87" w:rsidRDefault="00CA6B87" w:rsidP="00CA6B87">
      <w:pPr>
        <w:jc w:val="both"/>
        <w:rPr>
          <w:rFonts w:ascii="Verdana" w:hAnsi="Verdana"/>
          <w:sz w:val="22"/>
          <w:szCs w:val="22"/>
        </w:rPr>
      </w:pPr>
      <w:r w:rsidRPr="00CA6B87">
        <w:rPr>
          <w:rFonts w:ascii="Verdana" w:hAnsi="Verdana"/>
          <w:sz w:val="22"/>
          <w:szCs w:val="22"/>
        </w:rPr>
        <w:t xml:space="preserve">La custodia y cuidado personal se traduce en el oficio o función mediante el cual se tiene poder para criar, educar, orientar, conducir, formar hábitos, dirigir y disciplinar la conducta del niño, niña o adolescente y la cual corresponde de consuno a los padres legítimos </w:t>
      </w:r>
      <w:proofErr w:type="gramStart"/>
      <w:r w:rsidRPr="00CA6B87">
        <w:rPr>
          <w:rFonts w:ascii="Verdana" w:hAnsi="Verdana"/>
          <w:sz w:val="22"/>
          <w:szCs w:val="22"/>
        </w:rPr>
        <w:t>extra matrimoniales</w:t>
      </w:r>
      <w:proofErr w:type="gramEnd"/>
      <w:r w:rsidRPr="00CA6B87">
        <w:rPr>
          <w:rFonts w:ascii="Verdana" w:hAnsi="Verdana"/>
          <w:sz w:val="22"/>
          <w:szCs w:val="22"/>
        </w:rPr>
        <w:t xml:space="preserve"> o adoptivos y se podrá extender a una tercera persona.</w:t>
      </w:r>
    </w:p>
    <w:p w14:paraId="66B73F82" w14:textId="6733F907" w:rsidR="00CA6B87" w:rsidRPr="00CA6B87" w:rsidRDefault="00CA6B87" w:rsidP="00CA6B87">
      <w:pPr>
        <w:jc w:val="both"/>
        <w:rPr>
          <w:rFonts w:ascii="Verdana" w:hAnsi="Verdana"/>
          <w:sz w:val="22"/>
          <w:szCs w:val="22"/>
        </w:rPr>
      </w:pPr>
      <w:r w:rsidRPr="00CA6B87">
        <w:rPr>
          <w:rFonts w:ascii="Verdana" w:hAnsi="Verdana"/>
          <w:sz w:val="22"/>
          <w:szCs w:val="22"/>
        </w:rPr>
        <w:t>La Ley 1098 de 2006, en su artículo 23, establece: </w:t>
      </w:r>
      <w:r w:rsidRPr="00CA6B87">
        <w:rPr>
          <w:rFonts w:ascii="Verdana" w:hAnsi="Verdana"/>
          <w:i/>
          <w:iCs/>
          <w:sz w:val="22"/>
          <w:szCs w:val="22"/>
        </w:rPr>
        <w:t>"Custodia y Cuidado Personal.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14:paraId="1F0C3E96" w14:textId="77777777" w:rsidR="00CA6B87" w:rsidRPr="00CA6B87" w:rsidRDefault="00CA6B87" w:rsidP="00CA6B87">
      <w:pPr>
        <w:jc w:val="both"/>
        <w:rPr>
          <w:rFonts w:ascii="Verdana" w:hAnsi="Verdana"/>
          <w:sz w:val="22"/>
          <w:szCs w:val="22"/>
        </w:rPr>
      </w:pPr>
      <w:r w:rsidRPr="00CA6B87">
        <w:rPr>
          <w:rFonts w:ascii="Verdana" w:hAnsi="Verdana"/>
          <w:sz w:val="22"/>
          <w:szCs w:val="22"/>
        </w:rPr>
        <w:t xml:space="preserve">El Código Civil Colombiano respecto a las obligaciones de los padres con sus hijos nos dice que corresponde a los padres de manera conjunta, o al padre sobreviviente, el cuidado personal de la crianza y educación de sus </w:t>
      </w:r>
      <w:proofErr w:type="gramStart"/>
      <w:r w:rsidRPr="00CA6B87">
        <w:rPr>
          <w:rFonts w:ascii="Verdana" w:hAnsi="Verdana"/>
          <w:sz w:val="22"/>
          <w:szCs w:val="22"/>
        </w:rPr>
        <w:t>hijos</w:t>
      </w:r>
      <w:r w:rsidRPr="00CA6B87">
        <w:rPr>
          <w:rFonts w:ascii="Verdana" w:hAnsi="Verdana"/>
          <w:sz w:val="22"/>
          <w:szCs w:val="22"/>
          <w:vertAlign w:val="subscript"/>
        </w:rPr>
        <w:t>[</w:t>
      </w:r>
      <w:proofErr w:type="gramEnd"/>
      <w:r w:rsidRPr="00CA6B87">
        <w:rPr>
          <w:rFonts w:ascii="Verdana" w:hAnsi="Verdana"/>
          <w:sz w:val="22"/>
          <w:szCs w:val="22"/>
          <w:vertAlign w:val="subscript"/>
        </w:rPr>
        <w:t>9]</w:t>
      </w:r>
      <w:r w:rsidRPr="00CA6B87">
        <w:rPr>
          <w:rFonts w:ascii="Verdana" w:hAnsi="Verdana"/>
          <w:sz w:val="22"/>
          <w:szCs w:val="22"/>
        </w:rPr>
        <w:t xml:space="preserve"> y que los gastos de crianza, educación y establecimiento de los hijos </w:t>
      </w:r>
      <w:proofErr w:type="gramStart"/>
      <w:r w:rsidRPr="00CA6B87">
        <w:rPr>
          <w:rFonts w:ascii="Verdana" w:hAnsi="Verdana"/>
          <w:sz w:val="22"/>
          <w:szCs w:val="22"/>
        </w:rPr>
        <w:t>legítimos,</w:t>
      </w:r>
      <w:proofErr w:type="gramEnd"/>
      <w:r w:rsidRPr="00CA6B87">
        <w:rPr>
          <w:rFonts w:ascii="Verdana" w:hAnsi="Verdana"/>
          <w:sz w:val="22"/>
          <w:szCs w:val="22"/>
        </w:rPr>
        <w:t xml:space="preserve"> pertenecen a la sociedad conyugal. </w:t>
      </w:r>
      <w:r w:rsidRPr="00CA6B87">
        <w:rPr>
          <w:rFonts w:ascii="Verdana" w:hAnsi="Verdana"/>
          <w:sz w:val="22"/>
          <w:szCs w:val="22"/>
          <w:vertAlign w:val="subscript"/>
        </w:rPr>
        <w:t>[10]</w:t>
      </w:r>
    </w:p>
    <w:p w14:paraId="33C9CA99" w14:textId="77777777" w:rsidR="00CA6B87" w:rsidRPr="00CA6B87" w:rsidRDefault="00CA6B87" w:rsidP="00CA6B87">
      <w:pPr>
        <w:jc w:val="both"/>
        <w:rPr>
          <w:rFonts w:ascii="Verdana" w:hAnsi="Verdana"/>
          <w:sz w:val="22"/>
          <w:szCs w:val="22"/>
        </w:rPr>
      </w:pPr>
      <w:r w:rsidRPr="00CA6B87">
        <w:rPr>
          <w:rFonts w:ascii="Verdana" w:hAnsi="Verdana"/>
          <w:sz w:val="22"/>
          <w:szCs w:val="22"/>
        </w:rPr>
        <w:t xml:space="preserve">La custodia se puede fijar por medio de: i) Conciliación entre las partes </w:t>
      </w:r>
      <w:proofErr w:type="spellStart"/>
      <w:r w:rsidRPr="00CA6B87">
        <w:rPr>
          <w:rFonts w:ascii="Verdana" w:hAnsi="Verdana"/>
          <w:sz w:val="22"/>
          <w:szCs w:val="22"/>
        </w:rPr>
        <w:t>ii</w:t>
      </w:r>
      <w:proofErr w:type="spellEnd"/>
      <w:r w:rsidRPr="00CA6B87">
        <w:rPr>
          <w:rFonts w:ascii="Verdana" w:hAnsi="Verdana"/>
          <w:sz w:val="22"/>
          <w:szCs w:val="22"/>
        </w:rPr>
        <w:t xml:space="preserve">) Proceso Administrativo de Restablecimiento de Derechos y </w:t>
      </w:r>
      <w:proofErr w:type="spellStart"/>
      <w:r w:rsidRPr="00CA6B87">
        <w:rPr>
          <w:rFonts w:ascii="Verdana" w:hAnsi="Verdana"/>
          <w:sz w:val="22"/>
          <w:szCs w:val="22"/>
        </w:rPr>
        <w:t>lii</w:t>
      </w:r>
      <w:proofErr w:type="spellEnd"/>
      <w:r w:rsidRPr="00CA6B87">
        <w:rPr>
          <w:rFonts w:ascii="Verdana" w:hAnsi="Verdana"/>
          <w:sz w:val="22"/>
          <w:szCs w:val="22"/>
        </w:rPr>
        <w:t>) Proceso Verbal Sumario ante el Juez de Familia.</w:t>
      </w:r>
    </w:p>
    <w:p w14:paraId="5F6E1BB5" w14:textId="77777777" w:rsidR="00CA6B87" w:rsidRPr="00CA6B87" w:rsidRDefault="00CA6B87" w:rsidP="00CA6B87">
      <w:pPr>
        <w:jc w:val="both"/>
        <w:rPr>
          <w:rFonts w:ascii="Verdana" w:hAnsi="Verdana"/>
          <w:sz w:val="22"/>
          <w:szCs w:val="22"/>
        </w:rPr>
      </w:pPr>
      <w:r w:rsidRPr="00CA6B87">
        <w:rPr>
          <w:rFonts w:ascii="Verdana" w:hAnsi="Verdana"/>
          <w:sz w:val="22"/>
          <w:szCs w:val="22"/>
        </w:rPr>
        <w:t>Según consideraciones de la Corte Constitucional con la custodia,</w:t>
      </w:r>
      <w:r w:rsidRPr="00CA6B87">
        <w:rPr>
          <w:rFonts w:ascii="Verdana" w:hAnsi="Verdana"/>
          <w:sz w:val="22"/>
          <w:szCs w:val="22"/>
          <w:vertAlign w:val="subscript"/>
        </w:rPr>
        <w:t>[11]</w:t>
      </w:r>
      <w:r w:rsidRPr="00CA6B87">
        <w:rPr>
          <w:rFonts w:ascii="Verdana" w:hAnsi="Verdana"/>
          <w:sz w:val="22"/>
          <w:szCs w:val="22"/>
        </w:rPr>
        <w:t> se busca, </w:t>
      </w:r>
      <w:r w:rsidRPr="00CA6B87">
        <w:rPr>
          <w:rFonts w:ascii="Verdana" w:hAnsi="Verdana"/>
          <w:i/>
          <w:iCs/>
          <w:sz w:val="22"/>
          <w:szCs w:val="22"/>
        </w:rPr>
        <w:t>"...como regla general, asegurar el desarrollo armónico, integral, normal y sano de los niños, desde los puntos de vista físico, psicológico, afectivo, intelectual y ético, así como la plena evolución de su personalidad".</w:t>
      </w:r>
    </w:p>
    <w:p w14:paraId="1E29DD93" w14:textId="77777777" w:rsidR="00CA6B87" w:rsidRPr="00CA6B87" w:rsidRDefault="00CA6B87" w:rsidP="00CA6B87">
      <w:pPr>
        <w:jc w:val="both"/>
        <w:rPr>
          <w:rFonts w:ascii="Verdana" w:hAnsi="Verdana"/>
          <w:sz w:val="22"/>
          <w:szCs w:val="22"/>
        </w:rPr>
      </w:pPr>
      <w:r w:rsidRPr="00CA6B87">
        <w:rPr>
          <w:rFonts w:ascii="Verdana" w:hAnsi="Verdana"/>
          <w:sz w:val="22"/>
          <w:szCs w:val="22"/>
        </w:rPr>
        <w:lastRenderedPageBreak/>
        <w:t xml:space="preserve">Cuando se otorga la custodia del menor de edad a familiares u otras personas, no se trasmite la patria </w:t>
      </w:r>
      <w:proofErr w:type="gramStart"/>
      <w:r w:rsidRPr="00CA6B87">
        <w:rPr>
          <w:rFonts w:ascii="Verdana" w:hAnsi="Verdana"/>
          <w:sz w:val="22"/>
          <w:szCs w:val="22"/>
        </w:rPr>
        <w:t>potestad</w:t>
      </w:r>
      <w:r w:rsidRPr="00CA6B87">
        <w:rPr>
          <w:rFonts w:ascii="Verdana" w:hAnsi="Verdana"/>
          <w:sz w:val="22"/>
          <w:szCs w:val="22"/>
          <w:vertAlign w:val="subscript"/>
        </w:rPr>
        <w:t>[</w:t>
      </w:r>
      <w:proofErr w:type="gramEnd"/>
      <w:r w:rsidRPr="00CA6B87">
        <w:rPr>
          <w:rFonts w:ascii="Verdana" w:hAnsi="Verdana"/>
          <w:sz w:val="22"/>
          <w:szCs w:val="22"/>
          <w:vertAlign w:val="subscript"/>
        </w:rPr>
        <w:t>12]</w:t>
      </w:r>
      <w:r w:rsidRPr="00CA6B87">
        <w:rPr>
          <w:rFonts w:ascii="Verdana" w:hAnsi="Verdana"/>
          <w:sz w:val="22"/>
          <w:szCs w:val="22"/>
        </w:rPr>
        <w:t> y adicionalmente no sustrae a los padres de las obligaciones contempladas por la ley para con sus hijos.</w:t>
      </w:r>
    </w:p>
    <w:p w14:paraId="47261CAE" w14:textId="6BB69EDA" w:rsidR="00CA6B87" w:rsidRPr="00CA6B87" w:rsidRDefault="00CA6B87" w:rsidP="00CA6B87">
      <w:pPr>
        <w:pStyle w:val="Prrafodelista"/>
        <w:numPr>
          <w:ilvl w:val="1"/>
          <w:numId w:val="4"/>
        </w:numPr>
        <w:jc w:val="both"/>
        <w:rPr>
          <w:rFonts w:ascii="Verdana" w:hAnsi="Verdana"/>
          <w:sz w:val="22"/>
          <w:szCs w:val="22"/>
        </w:rPr>
      </w:pPr>
      <w:r w:rsidRPr="00CA6B87">
        <w:rPr>
          <w:rFonts w:ascii="Verdana" w:hAnsi="Verdana"/>
          <w:b/>
          <w:bCs/>
          <w:sz w:val="22"/>
          <w:szCs w:val="22"/>
        </w:rPr>
        <w:t>Derecho a la Recreación de los niños, niñas y adolescentes.</w:t>
      </w:r>
    </w:p>
    <w:p w14:paraId="1C27159B" w14:textId="73A83AA8" w:rsidR="00CA6B87" w:rsidRPr="00CA6B87" w:rsidRDefault="00CA6B87" w:rsidP="00CA6B87">
      <w:pPr>
        <w:jc w:val="both"/>
        <w:rPr>
          <w:rFonts w:ascii="Verdana" w:hAnsi="Verdana"/>
          <w:sz w:val="22"/>
          <w:szCs w:val="22"/>
        </w:rPr>
      </w:pPr>
      <w:r w:rsidRPr="00CA6B87">
        <w:rPr>
          <w:rFonts w:ascii="Verdana" w:hAnsi="Verdana"/>
          <w:sz w:val="22"/>
          <w:szCs w:val="22"/>
        </w:rPr>
        <w:t>La Ley 1098 de 2006, Código de la Infancia y la Adolescencia, establece que los niños, las niñas y los adolescentes tienen derecho a la vida, a una buena calidad de vida y a un ambiente sano en condiciones de dignidad y goce de todos sus derechos en forma prevalente. La calidad de vida es esencial para su desarrollo integral acorde con la dignidad de ser humano. Este derecho supone la generación de condiciones que les aseguren desde la concepción cuidado, protección, alimentación nutritiva y equilibrada, acceso a los servicios de salud, educación, vestuario adecuado, recreación y vivienda segura dotada de servicios públicos esenciales en un ambiente sano.</w:t>
      </w:r>
    </w:p>
    <w:p w14:paraId="22749F58" w14:textId="784A077B" w:rsidR="00CA6B87" w:rsidRPr="00CA6B87" w:rsidRDefault="00CA6B87" w:rsidP="00CA6B87">
      <w:pPr>
        <w:jc w:val="both"/>
        <w:rPr>
          <w:rFonts w:ascii="Verdana" w:hAnsi="Verdana"/>
          <w:sz w:val="22"/>
          <w:szCs w:val="22"/>
        </w:rPr>
      </w:pPr>
      <w:r w:rsidRPr="00CA6B87">
        <w:rPr>
          <w:rFonts w:ascii="Verdana" w:hAnsi="Verdana"/>
          <w:sz w:val="22"/>
          <w:szCs w:val="22"/>
        </w:rPr>
        <w:t>Por su parte el artículo 30 de la Ley 1098 de 2006 dispone: </w:t>
      </w:r>
      <w:r w:rsidRPr="00CA6B87">
        <w:rPr>
          <w:rFonts w:ascii="Verdana" w:hAnsi="Verdana"/>
          <w:i/>
          <w:iCs/>
          <w:sz w:val="22"/>
          <w:szCs w:val="22"/>
        </w:rPr>
        <w:t>“Derecho a la recreación, participación en la vida cultural y en las artes. Los niños, las niñas y los adolescentes tienen derecho al descanso, esparcimiento al juego y demás actividades recreativas propias de su ciclo vital y a participar en la vida cultural y las artes.</w:t>
      </w:r>
    </w:p>
    <w:p w14:paraId="6F11CA1C" w14:textId="77777777" w:rsidR="00CA6B87" w:rsidRPr="00CA6B87" w:rsidRDefault="00CA6B87" w:rsidP="00CA6B87">
      <w:pPr>
        <w:jc w:val="both"/>
        <w:rPr>
          <w:rFonts w:ascii="Verdana" w:hAnsi="Verdana"/>
          <w:sz w:val="22"/>
          <w:szCs w:val="22"/>
        </w:rPr>
      </w:pPr>
      <w:r w:rsidRPr="00CA6B87">
        <w:rPr>
          <w:rFonts w:ascii="Verdana" w:hAnsi="Verdana"/>
          <w:i/>
          <w:iCs/>
          <w:sz w:val="22"/>
          <w:szCs w:val="22"/>
        </w:rPr>
        <w:t>Igualmente, tienen derecho a que se les reconozca, respete, y fomente el conocimiento y la vivencia de la cultura a la que pertenezcan.</w:t>
      </w:r>
    </w:p>
    <w:p w14:paraId="18837788" w14:textId="77777777" w:rsidR="00CA6B87" w:rsidRPr="00CA6B87" w:rsidRDefault="00CA6B87" w:rsidP="00CA6B87">
      <w:pPr>
        <w:jc w:val="both"/>
        <w:rPr>
          <w:rFonts w:ascii="Verdana" w:hAnsi="Verdana"/>
          <w:sz w:val="22"/>
          <w:szCs w:val="22"/>
        </w:rPr>
      </w:pPr>
      <w:r w:rsidRPr="00CA6B87">
        <w:rPr>
          <w:rFonts w:ascii="Verdana" w:hAnsi="Verdana"/>
          <w:i/>
          <w:iCs/>
          <w:sz w:val="22"/>
          <w:szCs w:val="22"/>
        </w:rPr>
        <w:t>Parágrafo 1o Para armonizar el ejercicio de este derecho con el desarrollo integral de los niños, las autoridades deberán diseñar mecanismos para prohibir el ingreso a establecimientos destinados a juegos de suerte y azar venta de licores, cigarrillos o productos derivados del tabaco y que ofrezcan espectáculos con clasificación para mayores de edad.</w:t>
      </w:r>
    </w:p>
    <w:p w14:paraId="068D4A7E" w14:textId="77777777" w:rsidR="00CA6B87" w:rsidRPr="00CA6B87" w:rsidRDefault="00CA6B87" w:rsidP="00CA6B87">
      <w:pPr>
        <w:jc w:val="both"/>
        <w:rPr>
          <w:rFonts w:ascii="Verdana" w:hAnsi="Verdana"/>
          <w:sz w:val="22"/>
          <w:szCs w:val="22"/>
        </w:rPr>
      </w:pPr>
      <w:r w:rsidRPr="00CA6B87">
        <w:rPr>
          <w:rFonts w:ascii="Verdana" w:hAnsi="Verdana"/>
          <w:i/>
          <w:iCs/>
          <w:sz w:val="22"/>
          <w:szCs w:val="22"/>
        </w:rPr>
        <w:t>Parágrafo 2o. Cuando sea permitido el ingreso a niños menores de 14 años a espectáculos y eventos públicos masivos, las autoridades deberán ordenar a los organizadores, la destinación especial de espacios adecuados para garantizar su seguridad personal”.</w:t>
      </w:r>
    </w:p>
    <w:p w14:paraId="756F6C15" w14:textId="44742571" w:rsidR="00CA6B87" w:rsidRPr="00CA6B87" w:rsidRDefault="00CA6B87" w:rsidP="00CA6B87">
      <w:pPr>
        <w:jc w:val="both"/>
        <w:rPr>
          <w:rFonts w:ascii="Verdana" w:hAnsi="Verdana"/>
          <w:sz w:val="22"/>
          <w:szCs w:val="22"/>
        </w:rPr>
      </w:pPr>
      <w:r w:rsidRPr="00CA6B87">
        <w:rPr>
          <w:rFonts w:ascii="Verdana" w:hAnsi="Verdana"/>
          <w:sz w:val="22"/>
          <w:szCs w:val="22"/>
        </w:rPr>
        <w:t xml:space="preserve">En este contexto y en materia de recreación y de cultura, el artículo 24 de la ley 1098 de 2006, al referirse al derecho a los alimentos de los niños niñas y adolescentes incluye la recreación como uno de sus elementos constitutivos; el numeral 13 del artículo 39 de la Ley 1098 de 2006 establece que la familia debe </w:t>
      </w:r>
      <w:r w:rsidRPr="00CA6B87">
        <w:rPr>
          <w:rFonts w:ascii="Verdana" w:hAnsi="Verdana"/>
          <w:sz w:val="22"/>
          <w:szCs w:val="22"/>
        </w:rPr>
        <w:lastRenderedPageBreak/>
        <w:t>brindar a los niños niñas y adolescentes las condiciones necesarias para la recreación y la participación en actividades deportivas y culturales de su interés; a su vez el artículo 41, en el numeral 24 establece la obligación de corresponsabilidad del Estado de fomentar entre otros la recreación; y el artículo 41 señala que las instituciones educativas tiene entre sus funciones las de estimular las manifestaciones e inclinaciones culturales de los niños, niñas y adolescentes, y promover su producción artística, científica y tecnológica, así como garantizar la utilización de los medios tecnológicos de acceso y difusión de la cultura.</w:t>
      </w:r>
    </w:p>
    <w:p w14:paraId="4E925731" w14:textId="05AA89BB" w:rsidR="00CA6B87" w:rsidRPr="00CA6B87" w:rsidRDefault="00CA6B87" w:rsidP="00CA6B87">
      <w:pPr>
        <w:pStyle w:val="Prrafodelista"/>
        <w:numPr>
          <w:ilvl w:val="0"/>
          <w:numId w:val="4"/>
        </w:numPr>
        <w:jc w:val="both"/>
        <w:rPr>
          <w:rFonts w:ascii="Verdana" w:hAnsi="Verdana"/>
          <w:sz w:val="22"/>
          <w:szCs w:val="22"/>
        </w:rPr>
      </w:pPr>
      <w:r w:rsidRPr="00CA6B87">
        <w:rPr>
          <w:rFonts w:ascii="Verdana" w:hAnsi="Verdana"/>
          <w:b/>
          <w:bCs/>
          <w:sz w:val="22"/>
          <w:szCs w:val="22"/>
        </w:rPr>
        <w:t>CASO CONCRETO</w:t>
      </w:r>
    </w:p>
    <w:p w14:paraId="5F27CC7D" w14:textId="77777777" w:rsidR="00CA6B87" w:rsidRPr="00CA6B87" w:rsidRDefault="00CA6B87" w:rsidP="00CA6B87">
      <w:pPr>
        <w:jc w:val="both"/>
        <w:rPr>
          <w:rFonts w:ascii="Verdana" w:hAnsi="Verdana"/>
          <w:sz w:val="22"/>
          <w:szCs w:val="22"/>
        </w:rPr>
      </w:pPr>
      <w:r w:rsidRPr="00CA6B87">
        <w:rPr>
          <w:rFonts w:ascii="Verdana" w:hAnsi="Verdana"/>
          <w:sz w:val="22"/>
          <w:szCs w:val="22"/>
        </w:rPr>
        <w:t xml:space="preserve">Se preguntó por parte de la </w:t>
      </w:r>
      <w:proofErr w:type="gramStart"/>
      <w:r w:rsidRPr="00CA6B87">
        <w:rPr>
          <w:rFonts w:ascii="Verdana" w:hAnsi="Verdana"/>
          <w:sz w:val="22"/>
          <w:szCs w:val="22"/>
        </w:rPr>
        <w:t>Directora</w:t>
      </w:r>
      <w:proofErr w:type="gramEnd"/>
      <w:r w:rsidRPr="00CA6B87">
        <w:rPr>
          <w:rFonts w:ascii="Verdana" w:hAnsi="Verdana"/>
          <w:sz w:val="22"/>
          <w:szCs w:val="22"/>
        </w:rPr>
        <w:t xml:space="preserve"> de Cinematografía del Ministerio de Cultura, doctora XXX, si: "</w:t>
      </w:r>
      <w:proofErr w:type="gramStart"/>
      <w:r w:rsidRPr="00CA6B87">
        <w:rPr>
          <w:rFonts w:ascii="Verdana" w:hAnsi="Verdana"/>
          <w:sz w:val="22"/>
          <w:szCs w:val="22"/>
        </w:rPr>
        <w:t>Puede un niño de 3, 5, 7 o 10 años de edad entrar solo a una sala de cine?</w:t>
      </w:r>
      <w:proofErr w:type="gramEnd"/>
      <w:r w:rsidRPr="00CA6B87">
        <w:rPr>
          <w:rFonts w:ascii="Verdana" w:hAnsi="Verdana"/>
          <w:sz w:val="22"/>
          <w:szCs w:val="22"/>
        </w:rPr>
        <w:t>”.</w:t>
      </w:r>
    </w:p>
    <w:p w14:paraId="14DCC183" w14:textId="77777777" w:rsidR="00CA6B87" w:rsidRPr="00CA6B87" w:rsidRDefault="00CA6B87" w:rsidP="00CA6B87">
      <w:pPr>
        <w:jc w:val="both"/>
        <w:rPr>
          <w:rFonts w:ascii="Verdana" w:hAnsi="Verdana"/>
          <w:sz w:val="22"/>
          <w:szCs w:val="22"/>
        </w:rPr>
      </w:pPr>
      <w:r w:rsidRPr="00CA6B87">
        <w:rPr>
          <w:rFonts w:ascii="Verdana" w:hAnsi="Verdana"/>
          <w:sz w:val="22"/>
          <w:szCs w:val="22"/>
        </w:rPr>
        <w:t xml:space="preserve">De conformidad con la normatividad aquí reseñada para esta Oficina es claro que </w:t>
      </w:r>
      <w:proofErr w:type="gramStart"/>
      <w:r w:rsidRPr="00CA6B87">
        <w:rPr>
          <w:rFonts w:ascii="Verdana" w:hAnsi="Verdana"/>
          <w:sz w:val="22"/>
          <w:szCs w:val="22"/>
        </w:rPr>
        <w:t>los niños y niñas</w:t>
      </w:r>
      <w:proofErr w:type="gramEnd"/>
      <w:r w:rsidRPr="00CA6B87">
        <w:rPr>
          <w:rFonts w:ascii="Verdana" w:hAnsi="Verdana"/>
          <w:sz w:val="22"/>
          <w:szCs w:val="22"/>
        </w:rPr>
        <w:t xml:space="preserve"> de 3. 5, 7 o 10 </w:t>
      </w:r>
      <w:proofErr w:type="gramStart"/>
      <w:r w:rsidRPr="00CA6B87">
        <w:rPr>
          <w:rFonts w:ascii="Verdana" w:hAnsi="Verdana"/>
          <w:sz w:val="22"/>
          <w:szCs w:val="22"/>
        </w:rPr>
        <w:t>años de edad</w:t>
      </w:r>
      <w:proofErr w:type="gramEnd"/>
      <w:r w:rsidRPr="00CA6B87">
        <w:rPr>
          <w:rFonts w:ascii="Verdana" w:hAnsi="Verdana"/>
          <w:sz w:val="22"/>
          <w:szCs w:val="22"/>
        </w:rPr>
        <w:t xml:space="preserve"> no pueden entrar solos a una sala de cine, ya que siempre deben estar acompañados de sus padres, cuidadores o tutores quienes en el ejercicio de la responsabilidad parental les brindan la orientación, cuidado, acompañamiento y crianza para el cabal ejercicio de sus derechos dentro de los cuales se encuentra el de recreación. Además de garantizar la protección que estos requieren toda vez que por su corta edad no se la pueden brindar ellos mismos.</w:t>
      </w:r>
    </w:p>
    <w:p w14:paraId="73F879DB" w14:textId="3790D779" w:rsidR="00CA6B87" w:rsidRPr="00CA6B87" w:rsidRDefault="00CA6B87" w:rsidP="00CA6B87">
      <w:pPr>
        <w:pStyle w:val="Prrafodelista"/>
        <w:numPr>
          <w:ilvl w:val="0"/>
          <w:numId w:val="4"/>
        </w:numPr>
        <w:jc w:val="both"/>
        <w:rPr>
          <w:rFonts w:ascii="Verdana" w:hAnsi="Verdana"/>
          <w:sz w:val="22"/>
          <w:szCs w:val="22"/>
        </w:rPr>
      </w:pPr>
      <w:r w:rsidRPr="00CA6B87">
        <w:rPr>
          <w:rFonts w:ascii="Verdana" w:hAnsi="Verdana"/>
          <w:b/>
          <w:bCs/>
          <w:sz w:val="22"/>
          <w:szCs w:val="22"/>
        </w:rPr>
        <w:t>CONCLUSIONES</w:t>
      </w:r>
    </w:p>
    <w:p w14:paraId="1E67BA66" w14:textId="77777777" w:rsidR="00CA6B87" w:rsidRPr="00CA6B87" w:rsidRDefault="00CA6B87" w:rsidP="00CA6B87">
      <w:pPr>
        <w:jc w:val="both"/>
        <w:rPr>
          <w:rFonts w:ascii="Verdana" w:hAnsi="Verdana"/>
          <w:sz w:val="22"/>
          <w:szCs w:val="22"/>
        </w:rPr>
      </w:pPr>
      <w:r w:rsidRPr="00CA6B87">
        <w:rPr>
          <w:rFonts w:ascii="Verdana" w:hAnsi="Verdana"/>
          <w:sz w:val="22"/>
          <w:szCs w:val="22"/>
        </w:rPr>
        <w:t>4.1- En Colombia el ejercicio de la Patria Potestad conlleva la obligación inherente de los padres para la orientación, cuidado acompañamiento y crianza de los niños y las niñas durante su proceso de formación, lo que incluye la responsabilidad compartida y solidaria del padre y la madre de asegurarse que los menores de edad que se encuentran bajo su cuidado puedan lograr el máximo nivel de satisfacción de sus derechos, así como su desarrollo armónico, integral, normal y sano desde los puntos de vista físico, psicológico, afectivo, intelectual y ético, conjuntamente con la plena evolución de su personalidad. Ahora bien, quienes ejerzan la custodia y cuidado personal también deberán cumplir con estas obligaciones a favor de los niños, niñas y adolescentes.</w:t>
      </w:r>
    </w:p>
    <w:p w14:paraId="0C66AE01" w14:textId="77777777" w:rsidR="00CA6B87" w:rsidRPr="00CA6B87" w:rsidRDefault="00CA6B87" w:rsidP="00CA6B87">
      <w:pPr>
        <w:jc w:val="both"/>
        <w:rPr>
          <w:rFonts w:ascii="Verdana" w:hAnsi="Verdana"/>
          <w:sz w:val="22"/>
          <w:szCs w:val="22"/>
        </w:rPr>
      </w:pPr>
      <w:r w:rsidRPr="00CA6B87">
        <w:rPr>
          <w:rFonts w:ascii="Verdana" w:hAnsi="Verdana"/>
          <w:sz w:val="22"/>
          <w:szCs w:val="22"/>
        </w:rPr>
        <w:t>4.3- Uno de los derechos legalmente consagrado para los niños, niñas y adolescentes es el relacionado con la recreación o participación en la vida cultural y en las artes el que, de acuerdo con la normatividad vigente, para su ejercicio ellos deberán estar acompañados por sus progenitores o en su defecto por sus cuidadores o tutores.</w:t>
      </w:r>
    </w:p>
    <w:p w14:paraId="5A2E12C3" w14:textId="0EC765CF" w:rsidR="00CA6B87" w:rsidRPr="00CA6B87" w:rsidRDefault="00CA6B87" w:rsidP="00CA6B87">
      <w:pPr>
        <w:jc w:val="both"/>
        <w:rPr>
          <w:rFonts w:ascii="Verdana" w:hAnsi="Verdana"/>
          <w:sz w:val="22"/>
          <w:szCs w:val="22"/>
        </w:rPr>
      </w:pPr>
      <w:r w:rsidRPr="00CA6B87">
        <w:rPr>
          <w:rFonts w:ascii="Verdana" w:hAnsi="Verdana"/>
          <w:sz w:val="22"/>
          <w:szCs w:val="22"/>
        </w:rPr>
        <w:lastRenderedPageBreak/>
        <w:t xml:space="preserve">El presente </w:t>
      </w:r>
      <w:proofErr w:type="gramStart"/>
      <w:r w:rsidRPr="00CA6B87">
        <w:rPr>
          <w:rFonts w:ascii="Verdana" w:hAnsi="Verdana"/>
          <w:sz w:val="22"/>
          <w:szCs w:val="22"/>
        </w:rPr>
        <w:t>concepto</w:t>
      </w:r>
      <w:r w:rsidRPr="00CA6B87">
        <w:rPr>
          <w:rFonts w:ascii="Verdana" w:hAnsi="Verdana"/>
          <w:sz w:val="22"/>
          <w:szCs w:val="22"/>
          <w:vertAlign w:val="subscript"/>
        </w:rPr>
        <w:t>[</w:t>
      </w:r>
      <w:proofErr w:type="gramEnd"/>
      <w:r w:rsidRPr="00CA6B87">
        <w:rPr>
          <w:rFonts w:ascii="Verdana" w:hAnsi="Verdana"/>
          <w:sz w:val="22"/>
          <w:szCs w:val="22"/>
          <w:vertAlign w:val="subscript"/>
        </w:rPr>
        <w:t>13]</w:t>
      </w:r>
      <w:r w:rsidRPr="00CA6B87">
        <w:rPr>
          <w:rFonts w:ascii="Verdana" w:hAnsi="Verdana"/>
          <w:sz w:val="22"/>
          <w:szCs w:val="22"/>
        </w:rPr>
        <w:t xml:space="preserve"> no es de obligatorio cumplimiento o ejecución para particulares o agentes externos, de conformidad con lo establecido en la Ley 1755 de 2015. No </w:t>
      </w:r>
      <w:proofErr w:type="gramStart"/>
      <w:r w:rsidRPr="00CA6B87">
        <w:rPr>
          <w:rFonts w:ascii="Verdana" w:hAnsi="Verdana"/>
          <w:sz w:val="22"/>
          <w:szCs w:val="22"/>
        </w:rPr>
        <w:t>obstante</w:t>
      </w:r>
      <w:proofErr w:type="gramEnd"/>
      <w:r w:rsidRPr="00CA6B87">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49297BC" w14:textId="77777777" w:rsidR="00CA6B87" w:rsidRPr="00CA6B87" w:rsidRDefault="00CA6B87" w:rsidP="00CA6B87">
      <w:pPr>
        <w:jc w:val="both"/>
        <w:rPr>
          <w:rFonts w:ascii="Verdana" w:hAnsi="Verdana"/>
          <w:sz w:val="22"/>
          <w:szCs w:val="22"/>
        </w:rPr>
      </w:pPr>
      <w:r w:rsidRPr="00CA6B87">
        <w:rPr>
          <w:rFonts w:ascii="Verdana" w:hAnsi="Verdana"/>
          <w:sz w:val="22"/>
          <w:szCs w:val="22"/>
        </w:rPr>
        <w:t>Atentamente,</w:t>
      </w:r>
    </w:p>
    <w:p w14:paraId="76D3D96A" w14:textId="77777777" w:rsidR="00CA6B87" w:rsidRPr="00CA6B87" w:rsidRDefault="00CA6B87" w:rsidP="00CA6B87">
      <w:pPr>
        <w:jc w:val="both"/>
        <w:rPr>
          <w:rFonts w:ascii="Verdana" w:hAnsi="Verdana"/>
          <w:sz w:val="22"/>
          <w:szCs w:val="22"/>
        </w:rPr>
      </w:pPr>
      <w:r w:rsidRPr="00CA6B87">
        <w:rPr>
          <w:rFonts w:ascii="Verdana" w:hAnsi="Verdana"/>
          <w:b/>
          <w:bCs/>
          <w:sz w:val="22"/>
          <w:szCs w:val="22"/>
        </w:rPr>
        <w:t>LUZ KARIME FERNANDEZ CASTILLO</w:t>
      </w:r>
    </w:p>
    <w:p w14:paraId="3848BAB5" w14:textId="77777777" w:rsidR="00CA6B87" w:rsidRPr="00CA6B87" w:rsidRDefault="00CA6B87" w:rsidP="00CA6B87">
      <w:pPr>
        <w:jc w:val="both"/>
        <w:rPr>
          <w:rFonts w:ascii="Verdana" w:hAnsi="Verdana"/>
          <w:sz w:val="22"/>
          <w:szCs w:val="22"/>
        </w:rPr>
      </w:pPr>
      <w:r w:rsidRPr="00CA6B87">
        <w:rPr>
          <w:rFonts w:ascii="Verdana" w:hAnsi="Verdana"/>
          <w:sz w:val="22"/>
          <w:szCs w:val="22"/>
        </w:rPr>
        <w:t>Jefe oficina Asesora Jurídica</w:t>
      </w:r>
    </w:p>
    <w:p w14:paraId="0E9DFE90" w14:textId="77777777" w:rsidR="00CA6B87" w:rsidRDefault="00CA6B87" w:rsidP="00CA6B87">
      <w:pPr>
        <w:jc w:val="both"/>
        <w:rPr>
          <w:rFonts w:ascii="Verdana" w:hAnsi="Verdana"/>
          <w:sz w:val="22"/>
          <w:szCs w:val="22"/>
        </w:rPr>
      </w:pPr>
    </w:p>
    <w:p w14:paraId="592F8DB1" w14:textId="0C756485" w:rsidR="00CA6B87" w:rsidRPr="00CA6B87" w:rsidRDefault="00CA6B87" w:rsidP="00CA6B87">
      <w:pPr>
        <w:jc w:val="both"/>
        <w:rPr>
          <w:rFonts w:ascii="Verdana" w:hAnsi="Verdana"/>
          <w:b/>
          <w:bCs/>
          <w:sz w:val="22"/>
          <w:szCs w:val="22"/>
        </w:rPr>
      </w:pPr>
      <w:r w:rsidRPr="00CA6B87">
        <w:rPr>
          <w:rFonts w:ascii="Verdana" w:hAnsi="Verdana"/>
          <w:b/>
          <w:bCs/>
          <w:sz w:val="22"/>
          <w:szCs w:val="22"/>
        </w:rPr>
        <w:t>Notas Pie de Pagina</w:t>
      </w:r>
    </w:p>
    <w:p w14:paraId="105B9446" w14:textId="7DBF48FB"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t>Corte Constitucional, sentencia T-408-95, expediente T-71149, M P: Eduardo Cifuentes Muñoz</w:t>
      </w:r>
    </w:p>
    <w:p w14:paraId="2453F428" w14:textId="751DF256"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t>T-503 de 2003 y T-397 de 2004 (MP Manuel José Cepeda Espinosa) Cita sacada de la sentencia T-502 de 2011, expediente T- 2622716. M.P. Jorge Ignacio Pretelt Chaljub</w:t>
      </w:r>
    </w:p>
    <w:p w14:paraId="43CA7B3F" w14:textId="41BC762A"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t>Corte Constitucional, sentencia T-587 de 1997 M.P Dr. Eduardo Cifuentes Muñoz</w:t>
      </w:r>
    </w:p>
    <w:p w14:paraId="49E6FC20" w14:textId="7F333643"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t>ICBF OAJ Concepto No 71 de 6 de junio de 2014.</w:t>
      </w:r>
    </w:p>
    <w:p w14:paraId="3D63221B" w14:textId="737C929B" w:rsidR="00CA6B87" w:rsidRPr="00CA6B87" w:rsidRDefault="00CA6B87" w:rsidP="00CA6B87">
      <w:pPr>
        <w:pStyle w:val="Prrafodelista"/>
        <w:numPr>
          <w:ilvl w:val="0"/>
          <w:numId w:val="2"/>
        </w:numPr>
        <w:jc w:val="both"/>
        <w:rPr>
          <w:rFonts w:ascii="Verdana" w:hAnsi="Verdana"/>
          <w:sz w:val="22"/>
          <w:szCs w:val="22"/>
        </w:rPr>
      </w:pPr>
      <w:proofErr w:type="spellStart"/>
      <w:r w:rsidRPr="00CA6B87">
        <w:rPr>
          <w:rFonts w:ascii="Verdana" w:hAnsi="Verdana"/>
          <w:sz w:val="22"/>
          <w:szCs w:val="22"/>
        </w:rPr>
        <w:t>Ibid</w:t>
      </w:r>
      <w:proofErr w:type="spellEnd"/>
    </w:p>
    <w:p w14:paraId="1F202E6B" w14:textId="67B043F4"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t>Artículo 7 Ley 1098 de 2006: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 La protección integral se materializa en el conjunto de políticas, planes, programas y acciones que se ejecuten en los ámbitos nacional, departamental, distrital y municipal con la conjunto de políticas, planes, recursos financieros, físicos y humanos.</w:t>
      </w:r>
    </w:p>
    <w:p w14:paraId="30A172B9" w14:textId="06E12771"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t>Corte Constitucional Sentencia T - 1015 de 7 de diciembre de 2010. M.P. Luis Ernesto Vargas Silva</w:t>
      </w:r>
    </w:p>
    <w:p w14:paraId="3CBAF15C" w14:textId="4062D2BA"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t>Corte Constitucional, Sentencia C-1003/07. Demanda de inconstitucionalidad contra el numeral 1 (parcial) del artículo 315 del Código Civil M.P. Caira &lt;sic&gt; Inés Vargas Hernández</w:t>
      </w:r>
    </w:p>
    <w:p w14:paraId="6ACA1B34" w14:textId="2B2C7084"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lastRenderedPageBreak/>
        <w:t>ARTÍCULO 253 CRIANZA Y EDUCACION DE LOS HIJOS. Toca de consuno a los padres, o al padre o madre sobreviviente, el cuidado personal de la crianza y educación de sus hijos legítimos.</w:t>
      </w:r>
    </w:p>
    <w:p w14:paraId="6682905A" w14:textId="5BA3FE4B"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t>ARTÍCULO 257 CRIANZA, EDUCACION Y ESTABLECIMIENTO Los gastos de crianza, educación y establecimiento de los hijos legítimos, pertenecen a la sociedad conyugal, según las reglas que, tratando de ella se dirán.</w:t>
      </w:r>
    </w:p>
    <w:p w14:paraId="39E8AD47" w14:textId="0A9CDE5A" w:rsidR="00CA6B87" w:rsidRPr="00CA6B87" w:rsidRDefault="00CA6B87" w:rsidP="00CA6B87">
      <w:pPr>
        <w:pStyle w:val="Prrafodelista"/>
        <w:numPr>
          <w:ilvl w:val="0"/>
          <w:numId w:val="1"/>
        </w:numPr>
        <w:jc w:val="both"/>
        <w:rPr>
          <w:rFonts w:ascii="Verdana" w:hAnsi="Verdana"/>
          <w:sz w:val="22"/>
          <w:szCs w:val="22"/>
        </w:rPr>
      </w:pPr>
      <w:r w:rsidRPr="00CA6B87">
        <w:rPr>
          <w:rFonts w:ascii="Verdana" w:hAnsi="Verdana"/>
          <w:sz w:val="22"/>
          <w:szCs w:val="22"/>
        </w:rPr>
        <w:t>&lt;Inciso segundo modificado por et artículo 19 del Decreto 2820 de 1974, El nuevo texto es el siguiente:&gt; Si el marido y la mujer vivieren bajo estado de separación de bienes, deben contribuir a dichos gastos en proporción a sus facultades.</w:t>
      </w:r>
    </w:p>
    <w:p w14:paraId="2E4C5BCE" w14:textId="2993F6AD"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t>CORTE CONSTITUCIONAL COLOMBIANA M P MANUEL JOSE CEPEDA ESPINOSA</w:t>
      </w:r>
    </w:p>
    <w:p w14:paraId="426AAD9A" w14:textId="3DDC662C"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t>Sentencia T-510 de junio 19 de 2003. Artículos 288 y 315 del Código Civil Colombiano "La patria potestad es el conjunto de derechos que la ley reconoce a los padres sobre sus hijos no emancipados, para facilitar a aquellos el cumplimiento de los deberes que su calidad les impone. Corresponde a los padres, conjuntamente el ejercicio de la patria potestad sobre sus hijos legítimos. A falla de uno de los padres, la ejercerá el otro; y "La emancipación judicial se efectúa, por decreto del juez, cuando los padres que ejerzan la patria potestad incurran en alguna de las siguientes causales: 1. Por maltrato del hijo 2- Por haber abandonado al hijo. 3. Por depravación que los incapacite de ejercer la patria potestad. 4.  Por haber sido condenados a pena privativa de la libertad superior a un año - En los casos anteriores podrá el juez proceder a petición de cualquier consanguíneo del hijo, del abogado defensor de familia y aún de oficio.</w:t>
      </w:r>
    </w:p>
    <w:p w14:paraId="1192B687" w14:textId="467F6E29" w:rsidR="00CA6B87" w:rsidRPr="00CA6B87" w:rsidRDefault="00CA6B87" w:rsidP="00CA6B87">
      <w:pPr>
        <w:pStyle w:val="Prrafodelista"/>
        <w:numPr>
          <w:ilvl w:val="0"/>
          <w:numId w:val="2"/>
        </w:numPr>
        <w:jc w:val="both"/>
        <w:rPr>
          <w:rFonts w:ascii="Verdana" w:hAnsi="Verdana"/>
          <w:sz w:val="22"/>
          <w:szCs w:val="22"/>
        </w:rPr>
      </w:pPr>
      <w:r w:rsidRPr="00CA6B87">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w:t>
      </w:r>
      <w:r w:rsidRPr="00CA6B87">
        <w:rPr>
          <w:rFonts w:ascii="Verdana" w:hAnsi="Verdana"/>
          <w:sz w:val="22"/>
          <w:szCs w:val="22"/>
        </w:rPr>
        <w:lastRenderedPageBreak/>
        <w:t>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4786E9C8" w14:textId="77777777" w:rsidR="00A724C4" w:rsidRPr="00CA6B87" w:rsidRDefault="00A724C4" w:rsidP="00CA6B87">
      <w:pPr>
        <w:jc w:val="both"/>
        <w:rPr>
          <w:rFonts w:ascii="Verdana" w:hAnsi="Verdana"/>
          <w:sz w:val="22"/>
          <w:szCs w:val="22"/>
        </w:rPr>
      </w:pPr>
    </w:p>
    <w:sectPr w:rsidR="00A724C4" w:rsidRPr="00CA6B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11CD"/>
    <w:multiLevelType w:val="hybridMultilevel"/>
    <w:tmpl w:val="333A8778"/>
    <w:lvl w:ilvl="0" w:tplc="F404F83A">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D321F6C"/>
    <w:multiLevelType w:val="hybridMultilevel"/>
    <w:tmpl w:val="7F848A6C"/>
    <w:lvl w:ilvl="0" w:tplc="F404F83A">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E10953"/>
    <w:multiLevelType w:val="hybridMultilevel"/>
    <w:tmpl w:val="ED80CA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B4C0B63"/>
    <w:multiLevelType w:val="hybridMultilevel"/>
    <w:tmpl w:val="D174F5EE"/>
    <w:lvl w:ilvl="0" w:tplc="EEE08D72">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78609D4"/>
    <w:multiLevelType w:val="hybridMultilevel"/>
    <w:tmpl w:val="5C7469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BBD5276"/>
    <w:multiLevelType w:val="multilevel"/>
    <w:tmpl w:val="900A48C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num w:numId="1" w16cid:durableId="1510564932">
    <w:abstractNumId w:val="4"/>
  </w:num>
  <w:num w:numId="2" w16cid:durableId="553810891">
    <w:abstractNumId w:val="1"/>
  </w:num>
  <w:num w:numId="3" w16cid:durableId="399452135">
    <w:abstractNumId w:val="0"/>
  </w:num>
  <w:num w:numId="4" w16cid:durableId="780221406">
    <w:abstractNumId w:val="5"/>
  </w:num>
  <w:num w:numId="5" w16cid:durableId="454833760">
    <w:abstractNumId w:val="2"/>
  </w:num>
  <w:num w:numId="6" w16cid:durableId="1577860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B6"/>
    <w:rsid w:val="00243CB4"/>
    <w:rsid w:val="00926286"/>
    <w:rsid w:val="00A724C4"/>
    <w:rsid w:val="00C371B6"/>
    <w:rsid w:val="00CA6B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9230"/>
  <w15:chartTrackingRefBased/>
  <w15:docId w15:val="{C08D6EDA-542D-4A70-8F7C-AE02A026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7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7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71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71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71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71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71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71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71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71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71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71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71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71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71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71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71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71B6"/>
    <w:rPr>
      <w:rFonts w:eastAsiaTheme="majorEastAsia" w:cstheme="majorBidi"/>
      <w:color w:val="272727" w:themeColor="text1" w:themeTint="D8"/>
    </w:rPr>
  </w:style>
  <w:style w:type="paragraph" w:styleId="Ttulo">
    <w:name w:val="Title"/>
    <w:basedOn w:val="Normal"/>
    <w:next w:val="Normal"/>
    <w:link w:val="TtuloCar"/>
    <w:uiPriority w:val="10"/>
    <w:qFormat/>
    <w:rsid w:val="00C37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71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71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71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71B6"/>
    <w:pPr>
      <w:spacing w:before="160"/>
      <w:jc w:val="center"/>
    </w:pPr>
    <w:rPr>
      <w:i/>
      <w:iCs/>
      <w:color w:val="404040" w:themeColor="text1" w:themeTint="BF"/>
    </w:rPr>
  </w:style>
  <w:style w:type="character" w:customStyle="1" w:styleId="CitaCar">
    <w:name w:val="Cita Car"/>
    <w:basedOn w:val="Fuentedeprrafopredeter"/>
    <w:link w:val="Cita"/>
    <w:uiPriority w:val="29"/>
    <w:rsid w:val="00C371B6"/>
    <w:rPr>
      <w:i/>
      <w:iCs/>
      <w:color w:val="404040" w:themeColor="text1" w:themeTint="BF"/>
    </w:rPr>
  </w:style>
  <w:style w:type="paragraph" w:styleId="Prrafodelista">
    <w:name w:val="List Paragraph"/>
    <w:basedOn w:val="Normal"/>
    <w:uiPriority w:val="34"/>
    <w:qFormat/>
    <w:rsid w:val="00C371B6"/>
    <w:pPr>
      <w:ind w:left="720"/>
      <w:contextualSpacing/>
    </w:pPr>
  </w:style>
  <w:style w:type="character" w:styleId="nfasisintenso">
    <w:name w:val="Intense Emphasis"/>
    <w:basedOn w:val="Fuentedeprrafopredeter"/>
    <w:uiPriority w:val="21"/>
    <w:qFormat/>
    <w:rsid w:val="00C371B6"/>
    <w:rPr>
      <w:i/>
      <w:iCs/>
      <w:color w:val="0F4761" w:themeColor="accent1" w:themeShade="BF"/>
    </w:rPr>
  </w:style>
  <w:style w:type="paragraph" w:styleId="Citadestacada">
    <w:name w:val="Intense Quote"/>
    <w:basedOn w:val="Normal"/>
    <w:next w:val="Normal"/>
    <w:link w:val="CitadestacadaCar"/>
    <w:uiPriority w:val="30"/>
    <w:qFormat/>
    <w:rsid w:val="00C37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71B6"/>
    <w:rPr>
      <w:i/>
      <w:iCs/>
      <w:color w:val="0F4761" w:themeColor="accent1" w:themeShade="BF"/>
    </w:rPr>
  </w:style>
  <w:style w:type="character" w:styleId="Referenciaintensa">
    <w:name w:val="Intense Reference"/>
    <w:basedOn w:val="Fuentedeprrafopredeter"/>
    <w:uiPriority w:val="32"/>
    <w:qFormat/>
    <w:rsid w:val="00C371B6"/>
    <w:rPr>
      <w:b/>
      <w:bCs/>
      <w:smallCaps/>
      <w:color w:val="0F4761" w:themeColor="accent1" w:themeShade="BF"/>
      <w:spacing w:val="5"/>
    </w:rPr>
  </w:style>
  <w:style w:type="character" w:styleId="Hipervnculo">
    <w:name w:val="Hyperlink"/>
    <w:basedOn w:val="Fuentedeprrafopredeter"/>
    <w:uiPriority w:val="99"/>
    <w:unhideWhenUsed/>
    <w:rsid w:val="00CA6B87"/>
    <w:rPr>
      <w:color w:val="467886" w:themeColor="hyperlink"/>
      <w:u w:val="single"/>
    </w:rPr>
  </w:style>
  <w:style w:type="character" w:styleId="Mencinsinresolver">
    <w:name w:val="Unresolved Mention"/>
    <w:basedOn w:val="Fuentedeprrafopredeter"/>
    <w:uiPriority w:val="99"/>
    <w:semiHidden/>
    <w:unhideWhenUsed/>
    <w:rsid w:val="00CA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1ECA5-4914-469F-ACD7-5BD1FCD11980}"/>
</file>

<file path=customXml/itemProps2.xml><?xml version="1.0" encoding="utf-8"?>
<ds:datastoreItem xmlns:ds="http://schemas.openxmlformats.org/officeDocument/2006/customXml" ds:itemID="{B0318685-EB08-4485-AC95-3C7C1DAA4DD2}"/>
</file>

<file path=customXml/itemProps3.xml><?xml version="1.0" encoding="utf-8"?>
<ds:datastoreItem xmlns:ds="http://schemas.openxmlformats.org/officeDocument/2006/customXml" ds:itemID="{0722277F-1E54-49E6-A252-6A80CDA5B5C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3975</Words>
  <Characters>21864</Characters>
  <Application>Microsoft Office Word</Application>
  <DocSecurity>0</DocSecurity>
  <Lines>182</Lines>
  <Paragraphs>51</Paragraphs>
  <ScaleCrop>false</ScaleCrop>
  <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2026-05-19T13:17:00Z</dcterms:created>
  <dcterms:modified xsi:type="dcterms:W3CDTF">2026-05-19T13:18:00Z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