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85C1" w14:textId="77777777" w:rsidR="00F50A09" w:rsidRPr="00F50A09" w:rsidRDefault="00F50A09" w:rsidP="00F50A09">
      <w:pPr>
        <w:jc w:val="center"/>
        <w:rPr>
          <w:rFonts w:ascii="Verdana" w:hAnsi="Verdana"/>
          <w:sz w:val="22"/>
          <w:szCs w:val="22"/>
        </w:rPr>
      </w:pPr>
      <w:r w:rsidRPr="00F50A09">
        <w:rPr>
          <w:rFonts w:ascii="Verdana" w:hAnsi="Verdana"/>
          <w:b/>
          <w:bCs/>
          <w:sz w:val="22"/>
          <w:szCs w:val="22"/>
        </w:rPr>
        <w:t>CONCEPTO 88 DE 2016</w:t>
      </w:r>
    </w:p>
    <w:p w14:paraId="650817A0" w14:textId="77777777" w:rsidR="00F50A09" w:rsidRPr="00F50A09" w:rsidRDefault="00F50A09" w:rsidP="00F50A09">
      <w:pPr>
        <w:jc w:val="center"/>
        <w:rPr>
          <w:rFonts w:ascii="Verdana" w:hAnsi="Verdana"/>
          <w:sz w:val="22"/>
          <w:szCs w:val="22"/>
        </w:rPr>
      </w:pPr>
      <w:r w:rsidRPr="00F50A09">
        <w:rPr>
          <w:rFonts w:ascii="Verdana" w:hAnsi="Verdana"/>
          <w:sz w:val="22"/>
          <w:szCs w:val="22"/>
        </w:rPr>
        <w:t>(agosto 9)</w:t>
      </w:r>
    </w:p>
    <w:p w14:paraId="66A66F77" w14:textId="77777777" w:rsidR="00F50A09" w:rsidRPr="00F50A09" w:rsidRDefault="00F50A09" w:rsidP="00F50A09">
      <w:pPr>
        <w:jc w:val="center"/>
        <w:rPr>
          <w:rFonts w:ascii="Verdana" w:hAnsi="Verdana"/>
          <w:sz w:val="22"/>
          <w:szCs w:val="22"/>
        </w:rPr>
      </w:pPr>
      <w:r w:rsidRPr="00F50A09">
        <w:rPr>
          <w:rFonts w:ascii="Verdana" w:hAnsi="Verdana"/>
          <w:b/>
          <w:bCs/>
          <w:sz w:val="22"/>
          <w:szCs w:val="22"/>
        </w:rPr>
        <w:t>INSTITUTO COLOMBIANO DE BIENESTAR FAMILIAR</w:t>
      </w:r>
    </w:p>
    <w:p w14:paraId="3AB0F94F" w14:textId="77777777" w:rsidR="00F50A09" w:rsidRDefault="00F50A09" w:rsidP="00F50A09">
      <w:pPr>
        <w:jc w:val="both"/>
        <w:rPr>
          <w:rFonts w:ascii="Verdana" w:hAnsi="Verdana"/>
          <w:sz w:val="22"/>
          <w:szCs w:val="22"/>
        </w:rPr>
      </w:pPr>
    </w:p>
    <w:p w14:paraId="2B25F0BD" w14:textId="101CC4A7" w:rsidR="00F50A09" w:rsidRDefault="00F50A09" w:rsidP="00F50A09">
      <w:pPr>
        <w:jc w:val="both"/>
        <w:rPr>
          <w:rFonts w:ascii="Verdana" w:hAnsi="Verdana"/>
          <w:sz w:val="22"/>
          <w:szCs w:val="22"/>
        </w:rPr>
      </w:pPr>
      <w:r w:rsidRPr="00F50A09">
        <w:rPr>
          <w:rFonts w:ascii="Verdana" w:hAnsi="Verdana"/>
          <w:b/>
          <w:bCs/>
          <w:sz w:val="22"/>
          <w:szCs w:val="22"/>
        </w:rPr>
        <w:t>ASUNTO:</w:t>
      </w:r>
      <w:r>
        <w:rPr>
          <w:rFonts w:ascii="Verdana" w:hAnsi="Verdana"/>
          <w:sz w:val="22"/>
          <w:szCs w:val="22"/>
        </w:rPr>
        <w:t xml:space="preserve"> </w:t>
      </w:r>
      <w:r w:rsidRPr="00F50A09">
        <w:rPr>
          <w:rFonts w:ascii="Verdana" w:hAnsi="Verdana"/>
          <w:sz w:val="22"/>
          <w:szCs w:val="22"/>
        </w:rPr>
        <w:t>Solicitud de concepto radicado bajo el No. 369294 del 2 de agosto de 2016.</w:t>
      </w:r>
    </w:p>
    <w:p w14:paraId="34998888" w14:textId="7FC68C8A" w:rsidR="00F50A09" w:rsidRDefault="00F50A09" w:rsidP="00F50A09">
      <w:pPr>
        <w:jc w:val="both"/>
        <w:rPr>
          <w:rFonts w:ascii="Verdana" w:hAnsi="Verdana"/>
          <w:sz w:val="22"/>
          <w:szCs w:val="22"/>
        </w:rPr>
      </w:pPr>
      <w:r w:rsidRPr="00F50A09">
        <w:rPr>
          <w:rFonts w:ascii="Verdana" w:hAnsi="Verdana"/>
          <w:b/>
          <w:bCs/>
          <w:sz w:val="22"/>
          <w:szCs w:val="22"/>
        </w:rPr>
        <w:t>PARA:</w:t>
      </w:r>
      <w:r>
        <w:rPr>
          <w:rFonts w:ascii="Verdana" w:hAnsi="Verdana"/>
          <w:b/>
          <w:bCs/>
          <w:sz w:val="22"/>
          <w:szCs w:val="22"/>
        </w:rPr>
        <w:t xml:space="preserve"> </w:t>
      </w:r>
      <w:r w:rsidRPr="00F50A09">
        <w:rPr>
          <w:rFonts w:ascii="Verdana" w:hAnsi="Verdana"/>
          <w:sz w:val="22"/>
          <w:szCs w:val="22"/>
        </w:rPr>
        <w:t>Defensora de Familia</w:t>
      </w:r>
      <w:r>
        <w:rPr>
          <w:rFonts w:ascii="Verdana" w:hAnsi="Verdana"/>
          <w:sz w:val="22"/>
          <w:szCs w:val="22"/>
        </w:rPr>
        <w:t xml:space="preserve">, </w:t>
      </w:r>
      <w:r w:rsidRPr="00F50A09">
        <w:rPr>
          <w:rFonts w:ascii="Verdana" w:hAnsi="Verdana"/>
          <w:sz w:val="22"/>
          <w:szCs w:val="22"/>
        </w:rPr>
        <w:t>Centro Zonal Tuluá</w:t>
      </w:r>
      <w:r>
        <w:rPr>
          <w:rFonts w:ascii="Verdana" w:hAnsi="Verdana"/>
          <w:sz w:val="22"/>
          <w:szCs w:val="22"/>
        </w:rPr>
        <w:t xml:space="preserve"> y </w:t>
      </w:r>
      <w:r w:rsidRPr="00F50A09">
        <w:rPr>
          <w:rFonts w:ascii="Verdana" w:hAnsi="Verdana"/>
          <w:sz w:val="22"/>
          <w:szCs w:val="22"/>
        </w:rPr>
        <w:t>Regional ICBF Valle</w:t>
      </w:r>
    </w:p>
    <w:p w14:paraId="48CD0C20" w14:textId="4FDB4D01" w:rsidR="00F50A09" w:rsidRPr="00F50A09" w:rsidRDefault="00F50A09" w:rsidP="00F50A09">
      <w:pPr>
        <w:jc w:val="both"/>
        <w:rPr>
          <w:rFonts w:ascii="Verdana" w:hAnsi="Verdana"/>
          <w:sz w:val="22"/>
          <w:szCs w:val="22"/>
        </w:rPr>
      </w:pPr>
      <w:r w:rsidRPr="00F50A09">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D571431" w14:textId="1E967359" w:rsidR="00F50A09" w:rsidRPr="00F50A09" w:rsidRDefault="00F50A09" w:rsidP="00F50A09">
      <w:pPr>
        <w:pStyle w:val="Prrafodelista"/>
        <w:numPr>
          <w:ilvl w:val="0"/>
          <w:numId w:val="4"/>
        </w:numPr>
        <w:jc w:val="both"/>
        <w:rPr>
          <w:rFonts w:ascii="Verdana" w:hAnsi="Verdana"/>
          <w:sz w:val="22"/>
          <w:szCs w:val="22"/>
        </w:rPr>
      </w:pPr>
      <w:r w:rsidRPr="00F50A09">
        <w:rPr>
          <w:rFonts w:ascii="Verdana" w:hAnsi="Verdana"/>
          <w:b/>
          <w:bCs/>
          <w:sz w:val="22"/>
          <w:szCs w:val="22"/>
        </w:rPr>
        <w:t>PROBLEMA JURIDICO</w:t>
      </w:r>
    </w:p>
    <w:p w14:paraId="10AEA393" w14:textId="77777777" w:rsidR="00F50A09" w:rsidRPr="00F50A09" w:rsidRDefault="00F50A09" w:rsidP="00F50A09">
      <w:pPr>
        <w:jc w:val="both"/>
        <w:rPr>
          <w:rFonts w:ascii="Verdana" w:hAnsi="Verdana"/>
          <w:sz w:val="22"/>
          <w:szCs w:val="22"/>
        </w:rPr>
      </w:pPr>
      <w:r w:rsidRPr="00F50A09">
        <w:rPr>
          <w:rFonts w:ascii="Verdana" w:hAnsi="Verdana"/>
          <w:sz w:val="22"/>
          <w:szCs w:val="22"/>
        </w:rPr>
        <w:t>¿Pueden los abuelos de un niño que carece de representantes legales y que se encuentra bajo su cuidado, presentar solicitud de adopción, independientemente que se tramite un proceso de guarda a favor de su nieto?</w:t>
      </w:r>
    </w:p>
    <w:p w14:paraId="16C5F6FA" w14:textId="001FB112" w:rsidR="00F50A09" w:rsidRPr="00F50A09" w:rsidRDefault="00F50A09" w:rsidP="00F50A09">
      <w:pPr>
        <w:pStyle w:val="Prrafodelista"/>
        <w:numPr>
          <w:ilvl w:val="0"/>
          <w:numId w:val="4"/>
        </w:numPr>
        <w:jc w:val="both"/>
        <w:rPr>
          <w:rFonts w:ascii="Verdana" w:hAnsi="Verdana"/>
          <w:sz w:val="22"/>
          <w:szCs w:val="22"/>
        </w:rPr>
      </w:pPr>
      <w:r w:rsidRPr="00F50A09">
        <w:rPr>
          <w:rFonts w:ascii="Verdana" w:hAnsi="Verdana"/>
          <w:b/>
          <w:bCs/>
          <w:sz w:val="22"/>
          <w:szCs w:val="22"/>
          <w:u w:val="single"/>
        </w:rPr>
        <w:t>ANÁLISIS DEL PROBLEMA JURÍDICO</w:t>
      </w:r>
    </w:p>
    <w:p w14:paraId="43A08D9E" w14:textId="77777777" w:rsidR="00F50A09" w:rsidRPr="00F50A09" w:rsidRDefault="00F50A09" w:rsidP="00F50A09">
      <w:pPr>
        <w:jc w:val="both"/>
        <w:rPr>
          <w:rFonts w:ascii="Verdana" w:hAnsi="Verdana"/>
          <w:sz w:val="22"/>
          <w:szCs w:val="22"/>
        </w:rPr>
      </w:pPr>
      <w:r w:rsidRPr="00F50A09">
        <w:rPr>
          <w:rFonts w:ascii="Verdana" w:hAnsi="Verdana"/>
          <w:sz w:val="22"/>
          <w:szCs w:val="22"/>
        </w:rPr>
        <w:t>Se abordará el tema analizando: (2.1) El proceso Administrativo de Restablecimiento de Derechos; (2.2) Los términos que tiene el Defensor de Familia para resolver el trámite administrativo de Restablecimiento de Derechos; (2.3) Pronunciamiento de la Corte Constitucional sobre el término que tiene el Defensor de Familia para resolver el Proceso Administrativo de Restablecimiento de Derechos, (2.4) La figura jurídica de la Adopción y (2.5) Las curadurías para los niños, niñas o adolescentes que no están sometidos a patria potestad</w:t>
      </w:r>
    </w:p>
    <w:p w14:paraId="0165B41A" w14:textId="77777777" w:rsidR="00F50A09" w:rsidRPr="00F50A09" w:rsidRDefault="00F50A09" w:rsidP="00F50A09">
      <w:pPr>
        <w:jc w:val="both"/>
        <w:rPr>
          <w:rFonts w:ascii="Verdana" w:hAnsi="Verdana"/>
          <w:sz w:val="22"/>
          <w:szCs w:val="22"/>
        </w:rPr>
      </w:pPr>
      <w:r w:rsidRPr="00F50A09">
        <w:rPr>
          <w:rFonts w:ascii="Verdana" w:hAnsi="Verdana"/>
          <w:b/>
          <w:bCs/>
          <w:sz w:val="22"/>
          <w:szCs w:val="22"/>
          <w:u w:val="single"/>
        </w:rPr>
        <w:t>(2.1) El proceso Administrativo de Restablecimiento de Derechos</w:t>
      </w:r>
    </w:p>
    <w:p w14:paraId="35BB0AC9" w14:textId="588F6C7E" w:rsidR="00F50A09" w:rsidRPr="00F50A09" w:rsidRDefault="00F50A09" w:rsidP="00F50A09">
      <w:pPr>
        <w:jc w:val="both"/>
        <w:rPr>
          <w:rFonts w:ascii="Verdana" w:hAnsi="Verdana"/>
          <w:sz w:val="22"/>
          <w:szCs w:val="22"/>
        </w:rPr>
      </w:pPr>
      <w:r w:rsidRPr="00F50A09">
        <w:rPr>
          <w:rFonts w:ascii="Verdana" w:hAnsi="Verdana"/>
          <w:sz w:val="22"/>
          <w:szCs w:val="22"/>
        </w:rPr>
        <w:t xml:space="preserve">Iniciamos </w:t>
      </w:r>
      <w:proofErr w:type="gramStart"/>
      <w:r w:rsidRPr="00F50A09">
        <w:rPr>
          <w:rFonts w:ascii="Verdana" w:hAnsi="Verdana"/>
          <w:sz w:val="22"/>
          <w:szCs w:val="22"/>
        </w:rPr>
        <w:t>éste</w:t>
      </w:r>
      <w:proofErr w:type="gramEnd"/>
      <w:r w:rsidRPr="00F50A09">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6399837B" w14:textId="6ABD1F56" w:rsidR="00F50A09" w:rsidRPr="00F50A09" w:rsidRDefault="00F50A09" w:rsidP="00F50A09">
      <w:pPr>
        <w:jc w:val="both"/>
        <w:rPr>
          <w:rFonts w:ascii="Verdana" w:hAnsi="Verdana"/>
          <w:sz w:val="22"/>
          <w:szCs w:val="22"/>
        </w:rPr>
      </w:pPr>
      <w:r w:rsidRPr="00F50A09">
        <w:rPr>
          <w:rFonts w:ascii="Verdana" w:hAnsi="Verdana"/>
          <w:sz w:val="22"/>
          <w:szCs w:val="22"/>
        </w:rPr>
        <w:t xml:space="preserve">En ejercicio del restablecimiento, las autoridades deberán surtir una serie de procedimientos tendientes a garantizar el cumplimiento de cada uno de los </w:t>
      </w:r>
      <w:r w:rsidRPr="00F50A09">
        <w:rPr>
          <w:rFonts w:ascii="Verdana" w:hAnsi="Verdana"/>
          <w:sz w:val="22"/>
          <w:szCs w:val="22"/>
        </w:rPr>
        <w:lastRenderedPageBreak/>
        <w:t>derechos de los niños, las niñas y los adolescentes, y se procederá a tomar las medidas pertinentes (arts. 51, 52. 53 del Código de la Infancia y la Adolescencia).</w:t>
      </w:r>
    </w:p>
    <w:p w14:paraId="1355EF69" w14:textId="77777777" w:rsidR="00F50A09" w:rsidRPr="00F50A09" w:rsidRDefault="00F50A09" w:rsidP="00F50A09">
      <w:pPr>
        <w:jc w:val="both"/>
        <w:rPr>
          <w:rFonts w:ascii="Verdana" w:hAnsi="Verdana"/>
          <w:sz w:val="22"/>
          <w:szCs w:val="22"/>
        </w:rPr>
      </w:pPr>
      <w:r w:rsidRPr="00F50A09">
        <w:rPr>
          <w:rFonts w:ascii="Verdana" w:hAnsi="Verdana"/>
          <w:sz w:val="22"/>
          <w:szCs w:val="22"/>
        </w:rPr>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p>
    <w:p w14:paraId="62CE4DEF" w14:textId="77777777" w:rsidR="00F50A09" w:rsidRPr="00F50A09" w:rsidRDefault="00F50A09" w:rsidP="00F50A09">
      <w:pPr>
        <w:jc w:val="both"/>
        <w:rPr>
          <w:rFonts w:ascii="Verdana" w:hAnsi="Verdana"/>
          <w:sz w:val="22"/>
          <w:szCs w:val="22"/>
        </w:rPr>
      </w:pPr>
      <w:r w:rsidRPr="00F50A09">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F50A09">
        <w:rPr>
          <w:rFonts w:ascii="Verdana" w:hAnsi="Verdana"/>
          <w:sz w:val="22"/>
          <w:szCs w:val="22"/>
        </w:rPr>
        <w:t>Ley,</w:t>
      </w:r>
      <w:proofErr w:type="gramEnd"/>
      <w:r w:rsidRPr="00F50A09">
        <w:rPr>
          <w:rFonts w:ascii="Verdana" w:hAnsi="Verdana"/>
          <w:sz w:val="22"/>
          <w:szCs w:val="22"/>
        </w:rPr>
        <w:t xml:space="preserve"> restablezcan a los niños, las niñas y los adolescentes el ejercicio pleno y efectivo de sus derechos.</w:t>
      </w:r>
    </w:p>
    <w:p w14:paraId="1F90ABE8" w14:textId="77777777" w:rsidR="00F50A09" w:rsidRPr="00F50A09" w:rsidRDefault="00F50A09" w:rsidP="00F50A09">
      <w:pPr>
        <w:jc w:val="both"/>
        <w:rPr>
          <w:rFonts w:ascii="Verdana" w:hAnsi="Verdana"/>
          <w:sz w:val="22"/>
          <w:szCs w:val="22"/>
        </w:rPr>
      </w:pPr>
      <w:r w:rsidRPr="00F50A09">
        <w:rPr>
          <w:rFonts w:ascii="Verdana" w:hAnsi="Verdana"/>
          <w:b/>
          <w:bCs/>
          <w:sz w:val="22"/>
          <w:szCs w:val="22"/>
          <w:u w:val="single"/>
        </w:rPr>
        <w:t>(2.2) Los términos para resolver el Proceso Administrativo de Restablecimiento de</w:t>
      </w:r>
      <w:r w:rsidRPr="00F50A09">
        <w:rPr>
          <w:rFonts w:ascii="Verdana" w:hAnsi="Verdana"/>
          <w:b/>
          <w:bCs/>
          <w:sz w:val="22"/>
          <w:szCs w:val="22"/>
        </w:rPr>
        <w:t> </w:t>
      </w:r>
      <w:r w:rsidRPr="00F50A09">
        <w:rPr>
          <w:rFonts w:ascii="Verdana" w:hAnsi="Verdana"/>
          <w:b/>
          <w:bCs/>
          <w:sz w:val="22"/>
          <w:szCs w:val="22"/>
          <w:u w:val="single"/>
        </w:rPr>
        <w:t>Derechos</w:t>
      </w:r>
    </w:p>
    <w:p w14:paraId="0C1FB435" w14:textId="508038BB" w:rsidR="00F50A09" w:rsidRPr="00F50A09" w:rsidRDefault="00F50A09" w:rsidP="00F50A09">
      <w:pPr>
        <w:jc w:val="both"/>
        <w:rPr>
          <w:rFonts w:ascii="Verdana" w:hAnsi="Verdana"/>
          <w:sz w:val="22"/>
          <w:szCs w:val="22"/>
        </w:rPr>
      </w:pPr>
      <w:r w:rsidRPr="00F50A09">
        <w:rPr>
          <w:rFonts w:ascii="Verdana" w:hAnsi="Verdana"/>
          <w:sz w:val="22"/>
          <w:szCs w:val="22"/>
        </w:rPr>
        <w:t>El artículo 100 del Código de la Infancia y la Adolescencia establece en su parágrafo </w:t>
      </w:r>
      <w:r w:rsidRPr="00F50A09">
        <w:rPr>
          <w:rFonts w:ascii="Verdana" w:hAnsi="Verdana"/>
          <w:i/>
          <w:iCs/>
          <w:sz w:val="22"/>
          <w:szCs w:val="22"/>
        </w:rPr>
        <w:t>2o</w:t>
      </w:r>
      <w:r w:rsidRPr="00F50A09">
        <w:rPr>
          <w:rFonts w:ascii="Verdana" w:hAnsi="Verdana"/>
          <w:sz w:val="22"/>
          <w:szCs w:val="22"/>
        </w:rPr>
        <w:t xml:space="preserve"> que la actuación administrativa a favor de un niño, niña o adolescente deberá resolverse dentro de los cuatro (4) meses siguientes a la fecha de la presentación de la solicitud o de la apertura oficiosa de la </w:t>
      </w:r>
      <w:proofErr w:type="gramStart"/>
      <w:r w:rsidRPr="00F50A09">
        <w:rPr>
          <w:rFonts w:ascii="Verdana" w:hAnsi="Verdana"/>
          <w:sz w:val="22"/>
          <w:szCs w:val="22"/>
        </w:rPr>
        <w:t>investigación</w:t>
      </w:r>
      <w:r w:rsidRPr="00F50A09">
        <w:rPr>
          <w:rFonts w:ascii="Verdana" w:hAnsi="Verdana"/>
          <w:sz w:val="22"/>
          <w:szCs w:val="22"/>
          <w:vertAlign w:val="subscript"/>
        </w:rPr>
        <w:t>[</w:t>
      </w:r>
      <w:proofErr w:type="gramEnd"/>
      <w:r w:rsidRPr="00F50A09">
        <w:rPr>
          <w:rFonts w:ascii="Verdana" w:hAnsi="Verdana"/>
          <w:sz w:val="22"/>
          <w:szCs w:val="22"/>
          <w:vertAlign w:val="subscript"/>
        </w:rPr>
        <w:t>1]</w:t>
      </w:r>
      <w:r w:rsidRPr="00F50A09">
        <w:rPr>
          <w:rFonts w:ascii="Verdana" w:hAnsi="Verdana"/>
          <w:sz w:val="22"/>
          <w:szCs w:val="22"/>
        </w:rPr>
        <w:t> y que el recurso de reposición que se presente contra el respectivo fallo deberá ser resuelto dentro de los diez (10) días siguientes al vencimiento del término para interponerlo.</w:t>
      </w:r>
    </w:p>
    <w:p w14:paraId="37510F53" w14:textId="77777777" w:rsidR="00F50A09" w:rsidRPr="00F50A09" w:rsidRDefault="00F50A09" w:rsidP="00F50A09">
      <w:pPr>
        <w:jc w:val="both"/>
        <w:rPr>
          <w:rFonts w:ascii="Verdana" w:hAnsi="Verdana"/>
          <w:sz w:val="22"/>
          <w:szCs w:val="22"/>
        </w:rPr>
      </w:pPr>
      <w:r w:rsidRPr="00F50A09">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3BC5B43A" w14:textId="77777777" w:rsidR="00F50A09" w:rsidRPr="00F50A09" w:rsidRDefault="00F50A09" w:rsidP="00F50A09">
      <w:pPr>
        <w:jc w:val="both"/>
        <w:rPr>
          <w:rFonts w:ascii="Verdana" w:hAnsi="Verdana"/>
          <w:sz w:val="22"/>
          <w:szCs w:val="22"/>
        </w:rPr>
      </w:pPr>
      <w:r w:rsidRPr="00F50A09">
        <w:rPr>
          <w:rFonts w:ascii="Verdana" w:hAnsi="Verdana"/>
          <w:sz w:val="22"/>
          <w:szCs w:val="22"/>
        </w:rPr>
        <w:t xml:space="preserve">Excepcionalmente y por solicitud razonada del Defensor o Comisario de Familia, el </w:t>
      </w:r>
      <w:proofErr w:type="gramStart"/>
      <w:r w:rsidRPr="00F50A09">
        <w:rPr>
          <w:rFonts w:ascii="Verdana" w:hAnsi="Verdana"/>
          <w:sz w:val="22"/>
          <w:szCs w:val="22"/>
        </w:rPr>
        <w:t>Director Regional</w:t>
      </w:r>
      <w:proofErr w:type="gramEnd"/>
      <w:r w:rsidRPr="00F50A09">
        <w:rPr>
          <w:rFonts w:ascii="Verdana" w:hAnsi="Verdana"/>
          <w:sz w:val="22"/>
          <w:szCs w:val="22"/>
        </w:rPr>
        <w:t xml:space="preserve"> podrá ampliar el término para fallar la actuación administrativa hasta por dos (2) meses más, contados a partir del vencimiento de </w:t>
      </w:r>
      <w:proofErr w:type="gramStart"/>
      <w:r w:rsidRPr="00F50A09">
        <w:rPr>
          <w:rFonts w:ascii="Verdana" w:hAnsi="Verdana"/>
          <w:sz w:val="22"/>
          <w:szCs w:val="22"/>
        </w:rPr>
        <w:t>los cuatro iniciales</w:t>
      </w:r>
      <w:proofErr w:type="gramEnd"/>
      <w:r w:rsidRPr="00F50A09">
        <w:rPr>
          <w:rFonts w:ascii="Verdana" w:hAnsi="Verdana"/>
          <w:sz w:val="22"/>
          <w:szCs w:val="22"/>
        </w:rPr>
        <w:t>, sin que exista en ningún caso nueva prórroga.</w:t>
      </w:r>
    </w:p>
    <w:p w14:paraId="2A9FDD14" w14:textId="26CFB105" w:rsidR="00F50A09" w:rsidRPr="00F50A09" w:rsidRDefault="00F50A09" w:rsidP="00F50A09">
      <w:pPr>
        <w:jc w:val="both"/>
        <w:rPr>
          <w:rFonts w:ascii="Verdana" w:hAnsi="Verdana"/>
          <w:sz w:val="22"/>
          <w:szCs w:val="22"/>
        </w:rPr>
      </w:pPr>
      <w:r w:rsidRPr="00F50A09">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51F11118" w14:textId="77777777" w:rsidR="00F50A09" w:rsidRPr="00F50A09" w:rsidRDefault="00F50A09" w:rsidP="00F50A09">
      <w:pPr>
        <w:jc w:val="both"/>
        <w:rPr>
          <w:rFonts w:ascii="Verdana" w:hAnsi="Verdana"/>
          <w:sz w:val="22"/>
          <w:szCs w:val="22"/>
        </w:rPr>
      </w:pPr>
      <w:r w:rsidRPr="00F50A09">
        <w:rPr>
          <w:rFonts w:ascii="Verdana" w:hAnsi="Verdana"/>
          <w:sz w:val="22"/>
          <w:szCs w:val="22"/>
        </w:rPr>
        <w:lastRenderedPageBreak/>
        <w:t>Debe resaltarse que la ley no dio excepciones de ningún tipo atendiendo al principio normativo esencial de eficiencia y utilidad para garantizar a cabalidad la protección integral de los intereses y garantías de los niños, niñas y adolescentes.</w:t>
      </w:r>
    </w:p>
    <w:p w14:paraId="2829B4D7" w14:textId="77777777" w:rsidR="00F50A09" w:rsidRPr="00F50A09" w:rsidRDefault="00F50A09" w:rsidP="00F50A09">
      <w:pPr>
        <w:jc w:val="both"/>
        <w:rPr>
          <w:rFonts w:ascii="Verdana" w:hAnsi="Verdana"/>
          <w:sz w:val="22"/>
          <w:szCs w:val="22"/>
        </w:rPr>
      </w:pPr>
      <w:r w:rsidRPr="00F50A09">
        <w:rPr>
          <w:rFonts w:ascii="Verdana" w:hAnsi="Verdana"/>
          <w:b/>
          <w:bCs/>
          <w:sz w:val="22"/>
          <w:szCs w:val="22"/>
          <w:u w:val="single"/>
        </w:rPr>
        <w:t>(2.3) Pronunciamiento de la Corte Constitucional sobre el término que tiene el Defensor de Familia para resolver el Proceso Administrativo de Restablecimiento de Derechos</w:t>
      </w:r>
    </w:p>
    <w:p w14:paraId="630B5DE4" w14:textId="77777777" w:rsidR="00F50A09" w:rsidRPr="00F50A09" w:rsidRDefault="00F50A09" w:rsidP="00F50A09">
      <w:pPr>
        <w:jc w:val="both"/>
        <w:rPr>
          <w:rFonts w:ascii="Verdana" w:hAnsi="Verdana"/>
          <w:sz w:val="22"/>
          <w:szCs w:val="22"/>
        </w:rPr>
      </w:pPr>
      <w:r w:rsidRPr="00F50A09">
        <w:rPr>
          <w:rFonts w:ascii="Verdana" w:hAnsi="Verdana"/>
          <w:sz w:val="22"/>
          <w:szCs w:val="22"/>
        </w:rPr>
        <w:t xml:space="preserve">Sobre </w:t>
      </w:r>
      <w:proofErr w:type="gramStart"/>
      <w:r w:rsidRPr="00F50A09">
        <w:rPr>
          <w:rFonts w:ascii="Verdana" w:hAnsi="Verdana"/>
          <w:sz w:val="22"/>
          <w:szCs w:val="22"/>
        </w:rPr>
        <w:t>éste</w:t>
      </w:r>
      <w:proofErr w:type="gramEnd"/>
      <w:r w:rsidRPr="00F50A09">
        <w:rPr>
          <w:rFonts w:ascii="Verdana" w:hAnsi="Verdana"/>
          <w:sz w:val="22"/>
          <w:szCs w:val="22"/>
        </w:rPr>
        <w:t xml:space="preserve"> asunto, la Corte </w:t>
      </w:r>
      <w:proofErr w:type="gramStart"/>
      <w:r w:rsidRPr="00F50A09">
        <w:rPr>
          <w:rFonts w:ascii="Verdana" w:hAnsi="Verdana"/>
          <w:sz w:val="22"/>
          <w:szCs w:val="22"/>
        </w:rPr>
        <w:t>Constitucional</w:t>
      </w:r>
      <w:r w:rsidRPr="00F50A09">
        <w:rPr>
          <w:rFonts w:ascii="Verdana" w:hAnsi="Verdana"/>
          <w:sz w:val="22"/>
          <w:szCs w:val="22"/>
          <w:vertAlign w:val="subscript"/>
        </w:rPr>
        <w:t>[</w:t>
      </w:r>
      <w:proofErr w:type="gramEnd"/>
      <w:r w:rsidRPr="00F50A09">
        <w:rPr>
          <w:rFonts w:ascii="Verdana" w:hAnsi="Verdana"/>
          <w:sz w:val="22"/>
          <w:szCs w:val="22"/>
          <w:vertAlign w:val="subscript"/>
        </w:rPr>
        <w:t>2]</w:t>
      </w:r>
      <w:r w:rsidRPr="00F50A09">
        <w:rPr>
          <w:rFonts w:ascii="Verdana" w:hAnsi="Verdana"/>
          <w:sz w:val="22"/>
          <w:szCs w:val="22"/>
        </w:rPr>
        <w:t> ha dicho que:</w:t>
      </w:r>
    </w:p>
    <w:p w14:paraId="461DE019"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 Juez de Familia para que, de oficio, adelante la actuación o el proceso respectivo.</w:t>
      </w:r>
    </w:p>
    <w:p w14:paraId="032B0AFC" w14:textId="7FBA8330" w:rsidR="00F50A09" w:rsidRPr="00F50A09" w:rsidRDefault="00F50A09" w:rsidP="00F50A09">
      <w:pPr>
        <w:jc w:val="both"/>
        <w:rPr>
          <w:rFonts w:ascii="Verdana" w:hAnsi="Verdana"/>
          <w:sz w:val="22"/>
          <w:szCs w:val="22"/>
        </w:rPr>
      </w:pPr>
      <w:r w:rsidRPr="00F50A09">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2551083E"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30B5E9D3"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 xml:space="preserve">En el mismo sentido, también es razonable </w:t>
      </w:r>
      <w:proofErr w:type="gramStart"/>
      <w:r w:rsidRPr="00F50A09">
        <w:rPr>
          <w:rFonts w:ascii="Verdana" w:hAnsi="Verdana"/>
          <w:i/>
          <w:iCs/>
          <w:sz w:val="22"/>
          <w:szCs w:val="22"/>
        </w:rPr>
        <w:t>que</w:t>
      </w:r>
      <w:proofErr w:type="gramEnd"/>
      <w:r w:rsidRPr="00F50A09">
        <w:rPr>
          <w:rFonts w:ascii="Verdana" w:hAnsi="Verdana"/>
          <w:i/>
          <w:iCs/>
          <w:sz w:val="22"/>
          <w:szCs w:val="22"/>
        </w:rPr>
        <w:t xml:space="preserv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4DD81014" w14:textId="40F03B66" w:rsidR="00F50A09" w:rsidRPr="00F50A09" w:rsidRDefault="00F50A09" w:rsidP="00F50A09">
      <w:pPr>
        <w:jc w:val="both"/>
        <w:rPr>
          <w:rFonts w:ascii="Verdana" w:hAnsi="Verdana"/>
          <w:sz w:val="22"/>
          <w:szCs w:val="22"/>
        </w:rPr>
      </w:pPr>
      <w:r w:rsidRPr="00F50A09">
        <w:rPr>
          <w:rFonts w:ascii="Verdana" w:hAnsi="Verdana"/>
          <w:i/>
          <w:iCs/>
          <w:sz w:val="22"/>
          <w:szCs w:val="22"/>
        </w:rPr>
        <w:t>Por consiguiente, dicha expresión no vulnera el derecho de defensa consagrado en el Art. 29 de la Constitución y será declarada exequible, por el cargo planteado".</w:t>
      </w:r>
    </w:p>
    <w:p w14:paraId="74EDB397" w14:textId="77777777" w:rsidR="00F50A09" w:rsidRPr="00F50A09" w:rsidRDefault="00F50A09" w:rsidP="00F50A09">
      <w:pPr>
        <w:jc w:val="both"/>
        <w:rPr>
          <w:rFonts w:ascii="Verdana" w:hAnsi="Verdana"/>
          <w:sz w:val="22"/>
          <w:szCs w:val="22"/>
        </w:rPr>
      </w:pPr>
      <w:r w:rsidRPr="00F50A09">
        <w:rPr>
          <w:rFonts w:ascii="Verdana" w:hAnsi="Verdana"/>
          <w:b/>
          <w:bCs/>
          <w:sz w:val="22"/>
          <w:szCs w:val="22"/>
          <w:u w:val="single"/>
        </w:rPr>
        <w:lastRenderedPageBreak/>
        <w:t>(2.4) La figura jurídica de la adopción</w:t>
      </w:r>
    </w:p>
    <w:p w14:paraId="5E0FB060" w14:textId="77777777" w:rsidR="00F50A09" w:rsidRPr="00F50A09" w:rsidRDefault="00F50A09" w:rsidP="00F50A09">
      <w:pPr>
        <w:jc w:val="both"/>
        <w:rPr>
          <w:rFonts w:ascii="Verdana" w:hAnsi="Verdana"/>
          <w:sz w:val="22"/>
          <w:szCs w:val="22"/>
        </w:rPr>
      </w:pPr>
      <w:r w:rsidRPr="00F50A09">
        <w:rPr>
          <w:rFonts w:ascii="Verdana" w:hAnsi="Verdana"/>
          <w:sz w:val="22"/>
          <w:szCs w:val="22"/>
        </w:rPr>
        <w:t xml:space="preserve">La Convención sobre los Derechos del Niño establece que la adopción debe tener como principio orientador el interés superior de los niños, niñas y </w:t>
      </w:r>
      <w:proofErr w:type="gramStart"/>
      <w:r w:rsidRPr="00F50A09">
        <w:rPr>
          <w:rFonts w:ascii="Verdana" w:hAnsi="Verdana"/>
          <w:sz w:val="22"/>
          <w:szCs w:val="22"/>
        </w:rPr>
        <w:t>adolescentes</w:t>
      </w:r>
      <w:r w:rsidRPr="00F50A09">
        <w:rPr>
          <w:rFonts w:ascii="Verdana" w:hAnsi="Verdana"/>
          <w:sz w:val="22"/>
          <w:szCs w:val="22"/>
          <w:vertAlign w:val="subscript"/>
        </w:rPr>
        <w:t>[</w:t>
      </w:r>
      <w:proofErr w:type="gramEnd"/>
      <w:r w:rsidRPr="00F50A09">
        <w:rPr>
          <w:rFonts w:ascii="Verdana" w:hAnsi="Verdana"/>
          <w:sz w:val="22"/>
          <w:szCs w:val="22"/>
          <w:vertAlign w:val="subscript"/>
        </w:rPr>
        <w:t>3]</w:t>
      </w:r>
      <w:r w:rsidRPr="00F50A09">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1AEE2AEB" w14:textId="22F7D330" w:rsidR="00F50A09" w:rsidRPr="00F50A09" w:rsidRDefault="00F50A09" w:rsidP="00F50A09">
      <w:pPr>
        <w:jc w:val="both"/>
        <w:rPr>
          <w:rFonts w:ascii="Verdana" w:hAnsi="Verdana"/>
          <w:sz w:val="22"/>
          <w:szCs w:val="22"/>
        </w:rPr>
      </w:pPr>
      <w:r w:rsidRPr="00F50A09">
        <w:rPr>
          <w:rFonts w:ascii="Verdana" w:hAnsi="Verdana"/>
          <w:sz w:val="22"/>
          <w:szCs w:val="22"/>
        </w:rPr>
        <w:t>El Código de la Infancia y la Adolescencia en su artículo 61 contempla que la adopción </w:t>
      </w:r>
      <w:r w:rsidRPr="00F50A09">
        <w:rPr>
          <w:rFonts w:ascii="Verdana" w:hAnsi="Verdana"/>
          <w:i/>
          <w:iCs/>
          <w:sz w:val="22"/>
          <w:szCs w:val="22"/>
        </w:rPr>
        <w:t>“(...) es, principalmente y por excelencia una medida de protección a través de la cual, bajo la suprema vigilancia del Estado, se establece de manera Irrevocable, la relación paterno filial entre personas que no la tienen por naturaleza".</w:t>
      </w:r>
    </w:p>
    <w:p w14:paraId="3DF13D42" w14:textId="77777777" w:rsidR="00F50A09" w:rsidRPr="00F50A09" w:rsidRDefault="00F50A09" w:rsidP="00F50A09">
      <w:pPr>
        <w:jc w:val="both"/>
        <w:rPr>
          <w:rFonts w:ascii="Verdana" w:hAnsi="Verdana"/>
          <w:sz w:val="22"/>
          <w:szCs w:val="22"/>
        </w:rPr>
      </w:pPr>
      <w:r w:rsidRPr="00F50A09">
        <w:rPr>
          <w:rFonts w:ascii="Verdana" w:hAnsi="Verdana"/>
          <w:sz w:val="22"/>
          <w:szCs w:val="22"/>
        </w:rPr>
        <w:t>En efecto, 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6AC7D62E" w14:textId="4E1E2BB7" w:rsidR="00F50A09" w:rsidRPr="00F50A09" w:rsidRDefault="00F50A09" w:rsidP="00F50A09">
      <w:pPr>
        <w:jc w:val="both"/>
        <w:rPr>
          <w:rFonts w:ascii="Verdana" w:hAnsi="Verdana"/>
          <w:sz w:val="22"/>
          <w:szCs w:val="22"/>
        </w:rPr>
      </w:pPr>
      <w:r w:rsidRPr="00F50A09">
        <w:rPr>
          <w:rFonts w:ascii="Verdana" w:hAnsi="Verdana"/>
          <w:sz w:val="22"/>
          <w:szCs w:val="22"/>
        </w:rPr>
        <w:t>Los artículos 61 a 78, 107, 108 y 123 a 127 del Código de la infancia y la Adolescencia - Ley 1098 de 2006 -, regulan la institución jurídica de la adopción; acorde con estas disposiciones no existe el derecho a adoptar, si no el derecho fundamental del niño, niña o adolescente a tener una familia.</w:t>
      </w:r>
    </w:p>
    <w:p w14:paraId="0F708E50" w14:textId="64A0813A" w:rsidR="00F50A09" w:rsidRPr="00F50A09" w:rsidRDefault="00F50A09" w:rsidP="00F50A09">
      <w:pPr>
        <w:jc w:val="both"/>
        <w:rPr>
          <w:rFonts w:ascii="Verdana" w:hAnsi="Verdana"/>
          <w:sz w:val="22"/>
          <w:szCs w:val="22"/>
        </w:rPr>
      </w:pPr>
      <w:r w:rsidRPr="00F50A09">
        <w:rPr>
          <w:rFonts w:ascii="Verdana" w:hAnsi="Verdana"/>
          <w:sz w:val="22"/>
          <w:szCs w:val="22"/>
        </w:rPr>
        <w:t xml:space="preserve">De acuerdo con lo anterior, es claro que la adopción por su carácter </w:t>
      </w:r>
      <w:proofErr w:type="gramStart"/>
      <w:r w:rsidRPr="00F50A09">
        <w:rPr>
          <w:rFonts w:ascii="Verdana" w:hAnsi="Verdana"/>
          <w:sz w:val="22"/>
          <w:szCs w:val="22"/>
        </w:rPr>
        <w:t>proteccionista,</w:t>
      </w:r>
      <w:proofErr w:type="gramEnd"/>
      <w:r w:rsidRPr="00F50A09">
        <w:rPr>
          <w:rFonts w:ascii="Verdana" w:hAnsi="Verdana"/>
          <w:sz w:val="22"/>
          <w:szCs w:val="22"/>
        </w:rPr>
        <w:t xml:space="preserve"> tiene como fin último garantizar los derechos de los niños que </w:t>
      </w:r>
      <w:proofErr w:type="gramStart"/>
      <w:r w:rsidRPr="00F50A09">
        <w:rPr>
          <w:rFonts w:ascii="Verdana" w:hAnsi="Verdana"/>
          <w:sz w:val="22"/>
          <w:szCs w:val="22"/>
        </w:rPr>
        <w:t>de acuerdo al</w:t>
      </w:r>
      <w:proofErr w:type="gramEnd"/>
      <w:r w:rsidRPr="00F50A09">
        <w:rPr>
          <w:rFonts w:ascii="Verdana" w:hAnsi="Verdana"/>
          <w:sz w:val="22"/>
          <w:szCs w:val="22"/>
        </w:rPr>
        <w:t xml:space="preserve"> contenido constitucional son prevalentes - artículo 44, Constitución Política asegurando siempre su interés superior.</w:t>
      </w:r>
    </w:p>
    <w:p w14:paraId="6C10403E" w14:textId="77777777" w:rsidR="00F50A09" w:rsidRPr="00F50A09" w:rsidRDefault="00F50A09" w:rsidP="00F50A09">
      <w:pPr>
        <w:jc w:val="both"/>
        <w:rPr>
          <w:rFonts w:ascii="Verdana" w:hAnsi="Verdana"/>
          <w:sz w:val="22"/>
          <w:szCs w:val="22"/>
        </w:rPr>
      </w:pPr>
      <w:r w:rsidRPr="00F50A09">
        <w:rPr>
          <w:rFonts w:ascii="Verdana" w:hAnsi="Verdana"/>
          <w:sz w:val="22"/>
          <w:szCs w:val="22"/>
        </w:rPr>
        <w:t xml:space="preserve">Es evidente entonces, que la adopción es un mecanismo que materializa el derecho de los niños a tener una familia </w:t>
      </w:r>
      <w:proofErr w:type="gramStart"/>
      <w:r w:rsidRPr="00F50A09">
        <w:rPr>
          <w:rFonts w:ascii="Verdana" w:hAnsi="Verdana"/>
          <w:sz w:val="22"/>
          <w:szCs w:val="22"/>
        </w:rPr>
        <w:t>y</w:t>
      </w:r>
      <w:proofErr w:type="gramEnd"/>
      <w:r w:rsidRPr="00F50A09">
        <w:rPr>
          <w:rFonts w:ascii="Verdana" w:hAnsi="Verdana"/>
          <w:sz w:val="22"/>
          <w:szCs w:val="22"/>
        </w:rPr>
        <w:t xml:space="preserve">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adoptantes.</w:t>
      </w:r>
    </w:p>
    <w:p w14:paraId="467D78AB" w14:textId="61A1182F" w:rsidR="00F50A09" w:rsidRPr="00F50A09" w:rsidRDefault="00F50A09" w:rsidP="00F50A09">
      <w:pPr>
        <w:jc w:val="both"/>
        <w:rPr>
          <w:rFonts w:ascii="Verdana" w:hAnsi="Verdana"/>
          <w:sz w:val="22"/>
          <w:szCs w:val="22"/>
        </w:rPr>
      </w:pPr>
      <w:r w:rsidRPr="00F50A09">
        <w:rPr>
          <w:rFonts w:ascii="Verdana" w:hAnsi="Verdana"/>
          <w:sz w:val="22"/>
          <w:szCs w:val="22"/>
        </w:rPr>
        <w:t>De esta forma, aunque con la adopción surge parentesco civil y se ejercen algunos derechos fundamentales de los “nuevos" padres, su principal fin y objetivo es la protección prevalente de los derechos de los niños, ordenada en el artículo 44 de la Constitución Política. Esto ha llevado a la Corte Constitucional Colombiana a concluir que “</w:t>
      </w:r>
      <w:r w:rsidRPr="00F50A09">
        <w:rPr>
          <w:rFonts w:ascii="Verdana" w:hAnsi="Verdana"/>
          <w:i/>
          <w:iCs/>
          <w:sz w:val="22"/>
          <w:szCs w:val="22"/>
        </w:rPr>
        <w:t>dada</w:t>
      </w:r>
      <w:r w:rsidRPr="00F50A09">
        <w:rPr>
          <w:rFonts w:ascii="Verdana" w:hAnsi="Verdana"/>
          <w:sz w:val="22"/>
          <w:szCs w:val="22"/>
        </w:rPr>
        <w:t> su </w:t>
      </w:r>
      <w:r w:rsidRPr="00F50A09">
        <w:rPr>
          <w:rFonts w:ascii="Verdana" w:hAnsi="Verdana"/>
          <w:i/>
          <w:iCs/>
          <w:sz w:val="22"/>
          <w:szCs w:val="22"/>
        </w:rPr>
        <w:t xml:space="preserve">naturaleza eminentemente protectora, el proceso de adopción debe estar orientado ante todo por la búsqueda del interés </w:t>
      </w:r>
      <w:r w:rsidRPr="00F50A09">
        <w:rPr>
          <w:rFonts w:ascii="Verdana" w:hAnsi="Verdana"/>
          <w:i/>
          <w:iCs/>
          <w:sz w:val="22"/>
          <w:szCs w:val="22"/>
        </w:rPr>
        <w:lastRenderedPageBreak/>
        <w:t>superior del menor, el cual se debe aplicar como parámetro de interpretación de todas las normas aplicables.</w:t>
      </w:r>
      <w:r w:rsidRPr="00F50A09">
        <w:rPr>
          <w:rFonts w:ascii="Verdana" w:hAnsi="Verdana"/>
          <w:i/>
          <w:iCs/>
          <w:sz w:val="22"/>
          <w:szCs w:val="22"/>
          <w:vertAlign w:val="subscript"/>
        </w:rPr>
        <w:t>[4]</w:t>
      </w:r>
    </w:p>
    <w:p w14:paraId="568B128F" w14:textId="77777777" w:rsidR="00F50A09" w:rsidRPr="00F50A09" w:rsidRDefault="00F50A09" w:rsidP="00F50A09">
      <w:pPr>
        <w:jc w:val="both"/>
        <w:rPr>
          <w:rFonts w:ascii="Verdana" w:hAnsi="Verdana"/>
          <w:sz w:val="22"/>
          <w:szCs w:val="22"/>
        </w:rPr>
      </w:pPr>
      <w:r w:rsidRPr="00F50A09">
        <w:rPr>
          <w:rFonts w:ascii="Verdana" w:hAnsi="Verdana"/>
          <w:b/>
          <w:bCs/>
          <w:sz w:val="22"/>
          <w:szCs w:val="22"/>
          <w:u w:val="single"/>
        </w:rPr>
        <w:t>(2.5) Las curadurías para los niños, niñas o adolescentes que no están sometidos a</w:t>
      </w:r>
      <w:r w:rsidRPr="00F50A09">
        <w:rPr>
          <w:rFonts w:ascii="Verdana" w:hAnsi="Verdana"/>
          <w:b/>
          <w:bCs/>
          <w:sz w:val="22"/>
          <w:szCs w:val="22"/>
        </w:rPr>
        <w:t> </w:t>
      </w:r>
      <w:r w:rsidRPr="00F50A09">
        <w:rPr>
          <w:rFonts w:ascii="Verdana" w:hAnsi="Verdana"/>
          <w:b/>
          <w:bCs/>
          <w:sz w:val="22"/>
          <w:szCs w:val="22"/>
          <w:u w:val="single"/>
        </w:rPr>
        <w:t>patria potestad</w:t>
      </w:r>
    </w:p>
    <w:p w14:paraId="3053DB01" w14:textId="5FD8CAF6" w:rsidR="00F50A09" w:rsidRPr="00F50A09" w:rsidRDefault="00F50A09" w:rsidP="00F50A09">
      <w:pPr>
        <w:jc w:val="both"/>
        <w:rPr>
          <w:rFonts w:ascii="Verdana" w:hAnsi="Verdana"/>
          <w:sz w:val="22"/>
          <w:szCs w:val="22"/>
        </w:rPr>
      </w:pPr>
      <w:r w:rsidRPr="00F50A09">
        <w:rPr>
          <w:rFonts w:ascii="Verdana" w:hAnsi="Verdana"/>
          <w:sz w:val="22"/>
          <w:szCs w:val="22"/>
        </w:rPr>
        <w:t>Las tutelas y curadurías, de conformidad con lo dispuesto en el artículo 428 del Código Civil, son cargos impuestos a ciertas personas a favor de aquellos que no pueden dirigirse a sí mismos, o administrar competentemente sus negocios, y que no se hallen bajo potestad de sus padres; la curaduría se caracteriza porque confiere al guardador la representación del prohijado, así como la administración del patrimonio y el cuidado de éste.</w:t>
      </w:r>
    </w:p>
    <w:p w14:paraId="1C059426" w14:textId="77777777" w:rsidR="00F50A09" w:rsidRPr="00F50A09" w:rsidRDefault="00F50A09" w:rsidP="00F50A09">
      <w:pPr>
        <w:jc w:val="both"/>
        <w:rPr>
          <w:rFonts w:ascii="Verdana" w:hAnsi="Verdana"/>
          <w:sz w:val="22"/>
          <w:szCs w:val="22"/>
        </w:rPr>
      </w:pPr>
      <w:r w:rsidRPr="00F50A09">
        <w:rPr>
          <w:rFonts w:ascii="Verdana" w:hAnsi="Verdana"/>
          <w:sz w:val="22"/>
          <w:szCs w:val="22"/>
        </w:rPr>
        <w:t>En efecto, cuando una persona (con discapacidad mental o menor de edad) no puede administrar por sí misma sus bienes, corresponde en principio a la familia prodigar dicha administración, generándose excepcionalmente para el Estado una obligación de proteger especialmente a la persona colocada en situación de debilidad manifiesta.</w:t>
      </w:r>
    </w:p>
    <w:p w14:paraId="1D114708" w14:textId="77777777" w:rsidR="00F50A09" w:rsidRPr="00F50A09" w:rsidRDefault="00F50A09" w:rsidP="00F50A09">
      <w:pPr>
        <w:jc w:val="both"/>
        <w:rPr>
          <w:rFonts w:ascii="Verdana" w:hAnsi="Verdana"/>
          <w:sz w:val="22"/>
          <w:szCs w:val="22"/>
        </w:rPr>
      </w:pPr>
      <w:r w:rsidRPr="00F50A09">
        <w:rPr>
          <w:rFonts w:ascii="Verdana" w:hAnsi="Verdana"/>
          <w:sz w:val="22"/>
          <w:szCs w:val="22"/>
        </w:rPr>
        <w:t xml:space="preserve">Es por esta razón que a través de las curadurías o cúratelas consagradas en nuestro Código Civil, el Estado brinda un mecanismo de protección a favor de aquellos que no pueden dirigirse a sí mismos, o administrar competentemente sus negocios, y que no se hallen bajo potestad de padre o cónyuge, que pueda darles </w:t>
      </w:r>
      <w:proofErr w:type="gramStart"/>
      <w:r w:rsidRPr="00F50A09">
        <w:rPr>
          <w:rFonts w:ascii="Verdana" w:hAnsi="Verdana"/>
          <w:sz w:val="22"/>
          <w:szCs w:val="22"/>
        </w:rPr>
        <w:t>las protección debida</w:t>
      </w:r>
      <w:proofErr w:type="gramEnd"/>
      <w:r w:rsidRPr="00F50A09">
        <w:rPr>
          <w:rFonts w:ascii="Verdana" w:hAnsi="Verdana"/>
          <w:sz w:val="22"/>
          <w:szCs w:val="22"/>
        </w:rPr>
        <w:t>.</w:t>
      </w:r>
    </w:p>
    <w:p w14:paraId="3ADEAD7D" w14:textId="77777777" w:rsidR="00F50A09" w:rsidRPr="00F50A09" w:rsidRDefault="00F50A09" w:rsidP="00F50A09">
      <w:pPr>
        <w:jc w:val="both"/>
        <w:rPr>
          <w:rFonts w:ascii="Verdana" w:hAnsi="Verdana"/>
          <w:sz w:val="22"/>
          <w:szCs w:val="22"/>
        </w:rPr>
      </w:pPr>
      <w:r w:rsidRPr="00F50A09">
        <w:rPr>
          <w:rFonts w:ascii="Verdana" w:hAnsi="Verdana"/>
          <w:sz w:val="22"/>
          <w:szCs w:val="22"/>
        </w:rPr>
        <w:t>El ordenamiento legal ha diseñado a través de las guardas y concretamente a través de la curatela, un instrumento jurídico que busca proteger los intereses económicos y personales de sujetos que padecen graves discapacidades físicas, psíquicas o sensoriales como la demencia, así como a los menores de edad, confiándole a las personas que el juez considere idóneas la administración de sus bienes, generalmente dentro de su núcleo familiar (cúratela legítima).</w:t>
      </w:r>
    </w:p>
    <w:p w14:paraId="0BB25500" w14:textId="20F92C11" w:rsidR="00F50A09" w:rsidRPr="00F50A09" w:rsidRDefault="00F50A09" w:rsidP="00F50A09">
      <w:pPr>
        <w:jc w:val="both"/>
        <w:rPr>
          <w:rFonts w:ascii="Verdana" w:hAnsi="Verdana"/>
          <w:sz w:val="22"/>
          <w:szCs w:val="22"/>
        </w:rPr>
      </w:pPr>
      <w:r w:rsidRPr="00F50A09">
        <w:rPr>
          <w:rFonts w:ascii="Verdana" w:hAnsi="Verdana"/>
          <w:sz w:val="22"/>
          <w:szCs w:val="22"/>
        </w:rPr>
        <w:t>El artículo 53 de la ley 1306 de 2009, estableció que:</w:t>
      </w:r>
    </w:p>
    <w:p w14:paraId="5373AA81"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“La</w:t>
      </w:r>
      <w:r w:rsidRPr="00F50A09">
        <w:rPr>
          <w:rFonts w:ascii="Verdana" w:hAnsi="Verdana"/>
          <w:sz w:val="22"/>
          <w:szCs w:val="22"/>
        </w:rPr>
        <w:t> </w:t>
      </w:r>
      <w:r w:rsidRPr="00F50A09">
        <w:rPr>
          <w:rFonts w:ascii="Verdana" w:hAnsi="Verdana"/>
          <w:i/>
          <w:iCs/>
          <w:sz w:val="22"/>
          <w:szCs w:val="22"/>
        </w:rPr>
        <w:t>medida de protección de los impúberes no sometidos a patria potestad será una curaduría. La designación del curador, los requisitos de ejercicio de cargo y las facultades de acción serán las mismas que para los curadores de la persona con discapacidad mental absoluta.</w:t>
      </w:r>
    </w:p>
    <w:p w14:paraId="1760F7F9"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En la guarda personal de los impúberes, los curadores se ceñirán a las disposiciones del Código de la Infancia y la Adolescencia y las normas que lo reglamenten, adicionen o sustituyan.</w:t>
      </w:r>
    </w:p>
    <w:p w14:paraId="7E15CE84" w14:textId="5B52AB57" w:rsidR="00F50A09" w:rsidRPr="00F50A09" w:rsidRDefault="00F50A09" w:rsidP="00F50A09">
      <w:pPr>
        <w:jc w:val="both"/>
        <w:rPr>
          <w:rFonts w:ascii="Verdana" w:hAnsi="Verdana"/>
          <w:sz w:val="22"/>
          <w:szCs w:val="22"/>
        </w:rPr>
      </w:pPr>
      <w:r w:rsidRPr="00F50A09">
        <w:rPr>
          <w:rFonts w:ascii="Verdana" w:hAnsi="Verdana"/>
          <w:i/>
          <w:iCs/>
          <w:sz w:val="22"/>
          <w:szCs w:val="22"/>
        </w:rPr>
        <w:t xml:space="preserve">PARÁGRAFO. Para todos los efectos legales el impúber se </w:t>
      </w:r>
      <w:proofErr w:type="gramStart"/>
      <w:r w:rsidRPr="00F50A09">
        <w:rPr>
          <w:rFonts w:ascii="Verdana" w:hAnsi="Verdana"/>
          <w:i/>
          <w:iCs/>
          <w:sz w:val="22"/>
          <w:szCs w:val="22"/>
        </w:rPr>
        <w:t>equipara</w:t>
      </w:r>
      <w:proofErr w:type="gramEnd"/>
      <w:r w:rsidRPr="00F50A09">
        <w:rPr>
          <w:rFonts w:ascii="Verdana" w:hAnsi="Verdana"/>
          <w:i/>
          <w:iCs/>
          <w:sz w:val="22"/>
          <w:szCs w:val="22"/>
        </w:rPr>
        <w:t xml:space="preserve"> al niño y niña definido en el artículo 3o del Código de la Infancia y Adolescencia. De igual manera, el menor adulto se </w:t>
      </w:r>
      <w:proofErr w:type="gramStart"/>
      <w:r w:rsidRPr="00F50A09">
        <w:rPr>
          <w:rFonts w:ascii="Verdana" w:hAnsi="Verdana"/>
          <w:i/>
          <w:iCs/>
          <w:sz w:val="22"/>
          <w:szCs w:val="22"/>
        </w:rPr>
        <w:t>equipara</w:t>
      </w:r>
      <w:proofErr w:type="gramEnd"/>
      <w:r w:rsidRPr="00F50A09">
        <w:rPr>
          <w:rFonts w:ascii="Verdana" w:hAnsi="Verdana"/>
          <w:i/>
          <w:iCs/>
          <w:sz w:val="22"/>
          <w:szCs w:val="22"/>
        </w:rPr>
        <w:t xml:space="preserve"> al adolescente de ese estatuto.</w:t>
      </w:r>
    </w:p>
    <w:p w14:paraId="25A08D99"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lastRenderedPageBreak/>
        <w:t>Con todo, la edad mínima para contraer matrimonio se mantiene en 14 años, tanto para los varones como para las mujeres</w:t>
      </w:r>
    </w:p>
    <w:p w14:paraId="1B64F2F0" w14:textId="497F5032" w:rsidR="00F50A09" w:rsidRPr="00F50A09" w:rsidRDefault="00F50A09" w:rsidP="00F50A09">
      <w:pPr>
        <w:jc w:val="both"/>
        <w:rPr>
          <w:rFonts w:ascii="Verdana" w:hAnsi="Verdana"/>
          <w:sz w:val="22"/>
          <w:szCs w:val="22"/>
        </w:rPr>
      </w:pPr>
      <w:r w:rsidRPr="00F50A09">
        <w:rPr>
          <w:rFonts w:ascii="Verdana" w:hAnsi="Verdana"/>
          <w:sz w:val="22"/>
          <w:szCs w:val="22"/>
        </w:rPr>
        <w:t xml:space="preserve">Ahora, a falta de guarda legitima o testamentaria, encontramos la guarda dativa, que consiste según el artículo 69. </w:t>
      </w:r>
      <w:proofErr w:type="spellStart"/>
      <w:r w:rsidRPr="00F50A09">
        <w:rPr>
          <w:rFonts w:ascii="Verdana" w:hAnsi="Verdana"/>
          <w:sz w:val="22"/>
          <w:szCs w:val="22"/>
        </w:rPr>
        <w:t>Ibídem</w:t>
      </w:r>
      <w:proofErr w:type="spellEnd"/>
      <w:r w:rsidRPr="00F50A09">
        <w:rPr>
          <w:rFonts w:ascii="Verdana" w:hAnsi="Verdana"/>
          <w:sz w:val="22"/>
          <w:szCs w:val="22"/>
        </w:rPr>
        <w:t xml:space="preserve"> en que:</w:t>
      </w:r>
    </w:p>
    <w:p w14:paraId="0AC89830"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"A falta de otra guarda, tiene lugar la dativa.</w:t>
      </w:r>
    </w:p>
    <w:p w14:paraId="4C83295A" w14:textId="2E98FA3F" w:rsidR="00F50A09" w:rsidRPr="00F50A09" w:rsidRDefault="00F50A09" w:rsidP="00F50A09">
      <w:pPr>
        <w:jc w:val="both"/>
        <w:rPr>
          <w:rFonts w:ascii="Verdana" w:hAnsi="Verdana"/>
          <w:sz w:val="22"/>
          <w:szCs w:val="22"/>
        </w:rPr>
      </w:pPr>
      <w:r w:rsidRPr="00F50A09">
        <w:rPr>
          <w:rFonts w:ascii="Verdana" w:hAnsi="Verdana"/>
          <w:i/>
          <w:iCs/>
          <w:sz w:val="22"/>
          <w:szCs w:val="22"/>
        </w:rPr>
        <w:t>La guarda dativa podrá recaer en las personas que de conformidad con lo dispuesto en el artículo 67 del Código de la Infancia y la Adolescencia y las normas que lo complementen, modifiquen o adicionen, han cuidado del menor o persona con discapacidad u otros miembros de grupo generado por solidaridad familiar e incluso los parientes afines que estén calificados para el ejercicio de la guarda.</w:t>
      </w:r>
    </w:p>
    <w:p w14:paraId="5ED63936"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El Juez designará el guardador principal y los suplentes que estime necesarios, conforme a las reglas de designación de auxiliares de la justicia y oyendo</w:t>
      </w:r>
      <w:r w:rsidRPr="00F50A09">
        <w:rPr>
          <w:rFonts w:ascii="Verdana" w:hAnsi="Verdana"/>
          <w:sz w:val="22"/>
          <w:szCs w:val="22"/>
        </w:rPr>
        <w:t> a </w:t>
      </w:r>
      <w:r w:rsidRPr="00F50A09">
        <w:rPr>
          <w:rFonts w:ascii="Verdana" w:hAnsi="Verdana"/>
          <w:i/>
          <w:iCs/>
          <w:sz w:val="22"/>
          <w:szCs w:val="22"/>
        </w:rPr>
        <w:t>los parientes del pupilo si es del caso.</w:t>
      </w:r>
    </w:p>
    <w:p w14:paraId="5B5DAC73"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La designación hecha por el Juez podrá ser impugnada por cualquiera de los parientes que, de acuerdo con esta ley, tengan el deber de promover los procesos de interdicción de personas con discapacidad mental absoluta.</w:t>
      </w:r>
    </w:p>
    <w:p w14:paraId="33AD9DD5" w14:textId="77777777" w:rsidR="00F50A09" w:rsidRPr="00F50A09" w:rsidRDefault="00F50A09" w:rsidP="00F50A09">
      <w:pPr>
        <w:jc w:val="both"/>
        <w:rPr>
          <w:rFonts w:ascii="Verdana" w:hAnsi="Verdana"/>
          <w:sz w:val="22"/>
          <w:szCs w:val="22"/>
        </w:rPr>
      </w:pPr>
      <w:r w:rsidRPr="00F50A09">
        <w:rPr>
          <w:rFonts w:ascii="Verdana" w:hAnsi="Verdana"/>
          <w:i/>
          <w:iCs/>
          <w:sz w:val="22"/>
          <w:szCs w:val="22"/>
        </w:rPr>
        <w:t>Los curadores especiales siempre son dativos.</w:t>
      </w:r>
    </w:p>
    <w:p w14:paraId="268CB6FE" w14:textId="39603484" w:rsidR="00F50A09" w:rsidRPr="00F50A09" w:rsidRDefault="00F50A09" w:rsidP="00F50A09">
      <w:pPr>
        <w:jc w:val="both"/>
        <w:rPr>
          <w:rFonts w:ascii="Verdana" w:hAnsi="Verdana"/>
          <w:sz w:val="22"/>
          <w:szCs w:val="22"/>
        </w:rPr>
      </w:pPr>
      <w:r w:rsidRPr="00F50A09">
        <w:rPr>
          <w:rFonts w:ascii="Verdana" w:hAnsi="Verdana"/>
          <w:sz w:val="22"/>
          <w:szCs w:val="22"/>
        </w:rPr>
        <w:t>Igualmente, existe la posibilidad de solicitar al juez de familia que corresponda la designación de un curador especial de bienes a favor del niño, niña o adolescente que lo requiera, tal y como lo prevé el artículo 61 de la citada ley que reza: </w:t>
      </w:r>
      <w:r w:rsidRPr="00F50A09">
        <w:rPr>
          <w:rFonts w:ascii="Verdana" w:hAnsi="Verdana"/>
          <w:i/>
          <w:iCs/>
          <w:sz w:val="22"/>
          <w:szCs w:val="22"/>
        </w:rPr>
        <w:t>Se da curador especial cuando se deba adelantar un asunto judicial o extrajudicial determinado y el interesado o afectado no pueda o no quiera comparecer o su representante legal se encuentre impedido de hacerlo.</w:t>
      </w:r>
    </w:p>
    <w:p w14:paraId="7F54F41A" w14:textId="6F458640" w:rsidR="00F50A09" w:rsidRPr="00F50A09" w:rsidRDefault="00F50A09" w:rsidP="00F50A09">
      <w:pPr>
        <w:pStyle w:val="Prrafodelista"/>
        <w:numPr>
          <w:ilvl w:val="0"/>
          <w:numId w:val="4"/>
        </w:numPr>
        <w:jc w:val="both"/>
        <w:rPr>
          <w:rFonts w:ascii="Verdana" w:hAnsi="Verdana"/>
          <w:sz w:val="22"/>
          <w:szCs w:val="22"/>
        </w:rPr>
      </w:pPr>
      <w:r w:rsidRPr="00F50A09">
        <w:rPr>
          <w:rFonts w:ascii="Verdana" w:hAnsi="Verdana"/>
          <w:b/>
          <w:bCs/>
          <w:sz w:val="22"/>
          <w:szCs w:val="22"/>
        </w:rPr>
        <w:t>CONCLUSIONES</w:t>
      </w:r>
    </w:p>
    <w:p w14:paraId="792594BC" w14:textId="5D914EAF" w:rsidR="00F50A09" w:rsidRPr="00F50A09" w:rsidRDefault="00F50A09" w:rsidP="00F50A09">
      <w:pPr>
        <w:jc w:val="both"/>
        <w:rPr>
          <w:rFonts w:ascii="Verdana" w:hAnsi="Verdana"/>
          <w:sz w:val="22"/>
          <w:szCs w:val="22"/>
        </w:rPr>
      </w:pPr>
      <w:r w:rsidRPr="00F50A09">
        <w:rPr>
          <w:rFonts w:ascii="Verdana" w:hAnsi="Verdana"/>
          <w:sz w:val="22"/>
          <w:szCs w:val="22"/>
        </w:rPr>
        <w:t>Primera: Corresponde al Defensor de Familia, definir la situación jurídica de un niño, niña o adolescente dentro de los términos previstos en la Ley 1098 de 2006, profiriendo la medida de restablecimiento de derechos que sea más conveniente para el menor de edad que tiene sus derechos amenazados, inobservados o vulnerados sin referentes familiares.</w:t>
      </w:r>
    </w:p>
    <w:p w14:paraId="31C7E3EA" w14:textId="77777777" w:rsidR="00F50A09" w:rsidRPr="00F50A09" w:rsidRDefault="00F50A09" w:rsidP="00F50A09">
      <w:pPr>
        <w:jc w:val="both"/>
        <w:rPr>
          <w:rFonts w:ascii="Verdana" w:hAnsi="Verdana"/>
          <w:sz w:val="22"/>
          <w:szCs w:val="22"/>
        </w:rPr>
      </w:pPr>
      <w:r w:rsidRPr="00F50A09">
        <w:rPr>
          <w:rFonts w:ascii="Verdana" w:hAnsi="Verdana"/>
          <w:sz w:val="22"/>
          <w:szCs w:val="22"/>
        </w:rPr>
        <w:t xml:space="preserve">Segunda: El Proceso Administrativo de Restablecimiento de Derechos ha sido concebido en nuestro ordenamiento jurídico nacional para que las autoridades responsables, gestionen oportunamente las acciones que garanticen la protección y el restablecimiento de los derechos de niños, niñas y adolescentes </w:t>
      </w:r>
      <w:proofErr w:type="gramStart"/>
      <w:r w:rsidRPr="00F50A09">
        <w:rPr>
          <w:rFonts w:ascii="Verdana" w:hAnsi="Verdana"/>
          <w:sz w:val="22"/>
          <w:szCs w:val="22"/>
        </w:rPr>
        <w:t>y</w:t>
      </w:r>
      <w:proofErr w:type="gramEnd"/>
      <w:r w:rsidRPr="00F50A09">
        <w:rPr>
          <w:rFonts w:ascii="Verdana" w:hAnsi="Verdana"/>
          <w:sz w:val="22"/>
          <w:szCs w:val="22"/>
        </w:rPr>
        <w:t xml:space="preserve"> por ende, su seguimiento permanente, que dé lugar a su ejecución y cumplimiento.</w:t>
      </w:r>
    </w:p>
    <w:p w14:paraId="5C7F45F9" w14:textId="77777777" w:rsidR="00F50A09" w:rsidRPr="00F50A09" w:rsidRDefault="00F50A09" w:rsidP="00F50A09">
      <w:pPr>
        <w:jc w:val="both"/>
        <w:rPr>
          <w:rFonts w:ascii="Verdana" w:hAnsi="Verdana"/>
          <w:sz w:val="22"/>
          <w:szCs w:val="22"/>
        </w:rPr>
      </w:pPr>
      <w:r w:rsidRPr="00F50A09">
        <w:rPr>
          <w:rFonts w:ascii="Verdana" w:hAnsi="Verdana"/>
          <w:sz w:val="22"/>
          <w:szCs w:val="22"/>
        </w:rPr>
        <w:lastRenderedPageBreak/>
        <w:t xml:space="preserve">Tercera: Para el caso en concreto es pertinente indicar que los abuelos paternos del </w:t>
      </w:r>
      <w:proofErr w:type="gramStart"/>
      <w:r w:rsidRPr="00F50A09">
        <w:rPr>
          <w:rFonts w:ascii="Verdana" w:hAnsi="Verdana"/>
          <w:sz w:val="22"/>
          <w:szCs w:val="22"/>
        </w:rPr>
        <w:t>niño,</w:t>
      </w:r>
      <w:proofErr w:type="gramEnd"/>
      <w:r w:rsidRPr="00F50A09">
        <w:rPr>
          <w:rFonts w:ascii="Verdana" w:hAnsi="Verdana"/>
          <w:sz w:val="22"/>
          <w:szCs w:val="22"/>
        </w:rPr>
        <w:t xml:space="preserve"> pueden adicional al proceso de guarda presentar su solicitud de adopción ante la autoridad competente, y es muy prematuro afirmar si los mismos son o no son idóneos para adoptar su nieto, eso solo se determinara una vez se adelante el proceso correspondiente </w:t>
      </w:r>
      <w:proofErr w:type="gramStart"/>
      <w:r w:rsidRPr="00F50A09">
        <w:rPr>
          <w:rFonts w:ascii="Verdana" w:hAnsi="Verdana"/>
          <w:sz w:val="22"/>
          <w:szCs w:val="22"/>
        </w:rPr>
        <w:t>de acuerdo a</w:t>
      </w:r>
      <w:proofErr w:type="gramEnd"/>
      <w:r w:rsidRPr="00F50A09">
        <w:rPr>
          <w:rFonts w:ascii="Verdana" w:hAnsi="Verdana"/>
          <w:sz w:val="22"/>
          <w:szCs w:val="22"/>
        </w:rPr>
        <w:t xml:space="preserve"> lo establecido en la Ley y en el lineamiento técnico de adopción expedido para tal fin.</w:t>
      </w:r>
    </w:p>
    <w:p w14:paraId="19AC439E" w14:textId="19A6C323" w:rsidR="00F50A09" w:rsidRPr="00F50A09" w:rsidRDefault="00F50A09" w:rsidP="00F50A09">
      <w:pPr>
        <w:jc w:val="both"/>
        <w:rPr>
          <w:rFonts w:ascii="Verdana" w:hAnsi="Verdana"/>
          <w:sz w:val="22"/>
          <w:szCs w:val="22"/>
        </w:rPr>
      </w:pPr>
      <w:r w:rsidRPr="00F50A09">
        <w:rPr>
          <w:rFonts w:ascii="Verdana" w:hAnsi="Verdana"/>
          <w:sz w:val="22"/>
          <w:szCs w:val="22"/>
        </w:rPr>
        <w:t xml:space="preserve">El presente </w:t>
      </w:r>
      <w:proofErr w:type="gramStart"/>
      <w:r w:rsidRPr="00F50A09">
        <w:rPr>
          <w:rFonts w:ascii="Verdana" w:hAnsi="Verdana"/>
          <w:sz w:val="22"/>
          <w:szCs w:val="22"/>
        </w:rPr>
        <w:t>concepto</w:t>
      </w:r>
      <w:r w:rsidRPr="00F50A09">
        <w:rPr>
          <w:rFonts w:ascii="Verdana" w:hAnsi="Verdana"/>
          <w:sz w:val="22"/>
          <w:szCs w:val="22"/>
          <w:vertAlign w:val="subscript"/>
        </w:rPr>
        <w:t>[</w:t>
      </w:r>
      <w:proofErr w:type="gramEnd"/>
      <w:r w:rsidRPr="00F50A09">
        <w:rPr>
          <w:rFonts w:ascii="Verdana" w:hAnsi="Verdana"/>
          <w:sz w:val="22"/>
          <w:szCs w:val="22"/>
          <w:vertAlign w:val="subscript"/>
        </w:rPr>
        <w:t>5]</w:t>
      </w:r>
      <w:r w:rsidRPr="00F50A09">
        <w:rPr>
          <w:rFonts w:ascii="Verdana" w:hAnsi="Verdana"/>
          <w:sz w:val="22"/>
          <w:szCs w:val="22"/>
        </w:rPr>
        <w:t xml:space="preserve"> no es de obligatorio cumplimiento o ejecución para particulares o agentes externos, de conformidad con lo establecido 1755 de 2015. No </w:t>
      </w:r>
      <w:proofErr w:type="gramStart"/>
      <w:r w:rsidRPr="00F50A09">
        <w:rPr>
          <w:rFonts w:ascii="Verdana" w:hAnsi="Verdana"/>
          <w:sz w:val="22"/>
          <w:szCs w:val="22"/>
        </w:rPr>
        <w:t>obstante</w:t>
      </w:r>
      <w:proofErr w:type="gramEnd"/>
      <w:r w:rsidRPr="00F50A0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0AAB5EE" w14:textId="77777777" w:rsidR="00F50A09" w:rsidRPr="00F50A09" w:rsidRDefault="00F50A09" w:rsidP="00F50A09">
      <w:pPr>
        <w:jc w:val="both"/>
        <w:rPr>
          <w:rFonts w:ascii="Verdana" w:hAnsi="Verdana"/>
          <w:sz w:val="22"/>
          <w:szCs w:val="22"/>
        </w:rPr>
      </w:pPr>
      <w:r w:rsidRPr="00F50A09">
        <w:rPr>
          <w:rFonts w:ascii="Verdana" w:hAnsi="Verdana"/>
          <w:sz w:val="22"/>
          <w:szCs w:val="22"/>
        </w:rPr>
        <w:t>Cordialmente,</w:t>
      </w:r>
    </w:p>
    <w:p w14:paraId="30122169" w14:textId="77777777" w:rsidR="00F50A09" w:rsidRPr="00F50A09" w:rsidRDefault="00F50A09" w:rsidP="00F50A09">
      <w:pPr>
        <w:jc w:val="both"/>
        <w:rPr>
          <w:rFonts w:ascii="Verdana" w:hAnsi="Verdana"/>
          <w:sz w:val="22"/>
          <w:szCs w:val="22"/>
        </w:rPr>
      </w:pPr>
      <w:r w:rsidRPr="00F50A09">
        <w:rPr>
          <w:rFonts w:ascii="Verdana" w:hAnsi="Verdana"/>
          <w:b/>
          <w:bCs/>
          <w:sz w:val="22"/>
          <w:szCs w:val="22"/>
        </w:rPr>
        <w:t>LUZ KARIME FERNANDEZ CASTILLO</w:t>
      </w:r>
    </w:p>
    <w:p w14:paraId="42988A98" w14:textId="77777777" w:rsidR="00F50A09" w:rsidRPr="00F50A09" w:rsidRDefault="00F50A09" w:rsidP="00F50A09">
      <w:pPr>
        <w:jc w:val="both"/>
        <w:rPr>
          <w:rFonts w:ascii="Verdana" w:hAnsi="Verdana"/>
          <w:sz w:val="22"/>
          <w:szCs w:val="22"/>
        </w:rPr>
      </w:pPr>
      <w:r w:rsidRPr="00F50A09">
        <w:rPr>
          <w:rFonts w:ascii="Verdana" w:hAnsi="Verdana"/>
          <w:sz w:val="22"/>
          <w:szCs w:val="22"/>
        </w:rPr>
        <w:t>Jefe Oficina Asesora Jurídica</w:t>
      </w:r>
    </w:p>
    <w:p w14:paraId="0509AB77" w14:textId="77777777" w:rsidR="00F50A09" w:rsidRDefault="00F50A09" w:rsidP="00F50A09">
      <w:pPr>
        <w:jc w:val="both"/>
        <w:rPr>
          <w:rFonts w:ascii="Verdana" w:hAnsi="Verdana"/>
          <w:b/>
          <w:bCs/>
          <w:sz w:val="22"/>
          <w:szCs w:val="22"/>
        </w:rPr>
      </w:pPr>
    </w:p>
    <w:p w14:paraId="7109B934" w14:textId="0FE5FC38" w:rsidR="00F50A09" w:rsidRPr="00F50A09" w:rsidRDefault="00F50A09" w:rsidP="00F50A09">
      <w:pPr>
        <w:jc w:val="both"/>
        <w:rPr>
          <w:rFonts w:ascii="Verdana" w:hAnsi="Verdana"/>
          <w:b/>
          <w:bCs/>
          <w:sz w:val="22"/>
          <w:szCs w:val="22"/>
        </w:rPr>
      </w:pPr>
      <w:r w:rsidRPr="00F50A09">
        <w:rPr>
          <w:rFonts w:ascii="Verdana" w:hAnsi="Verdana"/>
          <w:b/>
          <w:bCs/>
          <w:sz w:val="22"/>
          <w:szCs w:val="22"/>
        </w:rPr>
        <w:t>Notas Pie de Pagina</w:t>
      </w:r>
    </w:p>
    <w:p w14:paraId="1D12E918" w14:textId="06F9A4FB" w:rsidR="00F50A09" w:rsidRPr="00F50A09" w:rsidRDefault="00F50A09" w:rsidP="00F50A09">
      <w:pPr>
        <w:pStyle w:val="Prrafodelista"/>
        <w:numPr>
          <w:ilvl w:val="0"/>
          <w:numId w:val="2"/>
        </w:numPr>
        <w:jc w:val="both"/>
        <w:rPr>
          <w:rFonts w:ascii="Verdana" w:hAnsi="Verdana"/>
          <w:sz w:val="22"/>
          <w:szCs w:val="22"/>
        </w:rPr>
      </w:pPr>
      <w:r w:rsidRPr="00F50A09">
        <w:rPr>
          <w:rFonts w:ascii="Verdana" w:hAnsi="Verdana"/>
          <w:sz w:val="22"/>
          <w:szCs w:val="22"/>
        </w:rPr>
        <w:t>Ley 1098 de 2006</w:t>
      </w:r>
    </w:p>
    <w:p w14:paraId="7984F217" w14:textId="475A0F01" w:rsidR="00F50A09" w:rsidRPr="00F50A09" w:rsidRDefault="00F50A09" w:rsidP="00F50A09">
      <w:pPr>
        <w:pStyle w:val="Prrafodelista"/>
        <w:numPr>
          <w:ilvl w:val="0"/>
          <w:numId w:val="2"/>
        </w:numPr>
        <w:jc w:val="both"/>
        <w:rPr>
          <w:rFonts w:ascii="Verdana" w:hAnsi="Verdana"/>
          <w:sz w:val="22"/>
          <w:szCs w:val="22"/>
        </w:rPr>
      </w:pPr>
      <w:r w:rsidRPr="00F50A09">
        <w:rPr>
          <w:rFonts w:ascii="Verdana" w:hAnsi="Verdana"/>
          <w:sz w:val="22"/>
          <w:szCs w:val="22"/>
        </w:rPr>
        <w:t>Sentencia C - 228 de 2008</w:t>
      </w:r>
    </w:p>
    <w:p w14:paraId="7C485B48" w14:textId="61525F8F" w:rsidR="00F50A09" w:rsidRPr="00F50A09" w:rsidRDefault="00F50A09" w:rsidP="00F50A09">
      <w:pPr>
        <w:pStyle w:val="Prrafodelista"/>
        <w:numPr>
          <w:ilvl w:val="0"/>
          <w:numId w:val="2"/>
        </w:numPr>
        <w:jc w:val="both"/>
        <w:rPr>
          <w:rFonts w:ascii="Verdana" w:hAnsi="Verdana"/>
          <w:sz w:val="22"/>
          <w:szCs w:val="22"/>
        </w:rPr>
      </w:pPr>
      <w:r w:rsidRPr="00F50A09">
        <w:rPr>
          <w:rFonts w:ascii="Verdana" w:hAnsi="Verdana"/>
          <w:sz w:val="22"/>
          <w:szCs w:val="22"/>
        </w:rPr>
        <w:t>Convención sobre los Derechos del Niño. Artículos 3.1, 20 y 21</w:t>
      </w:r>
    </w:p>
    <w:p w14:paraId="7EE2CDF7" w14:textId="7EE312C9" w:rsidR="00F50A09" w:rsidRPr="00F50A09" w:rsidRDefault="00F50A09" w:rsidP="00F50A09">
      <w:pPr>
        <w:pStyle w:val="Prrafodelista"/>
        <w:numPr>
          <w:ilvl w:val="0"/>
          <w:numId w:val="2"/>
        </w:numPr>
        <w:jc w:val="both"/>
        <w:rPr>
          <w:rFonts w:ascii="Verdana" w:hAnsi="Verdana"/>
          <w:sz w:val="22"/>
          <w:szCs w:val="22"/>
        </w:rPr>
      </w:pPr>
      <w:r w:rsidRPr="00F50A09">
        <w:rPr>
          <w:rFonts w:ascii="Verdana" w:hAnsi="Verdana"/>
          <w:sz w:val="22"/>
          <w:szCs w:val="22"/>
        </w:rPr>
        <w:t>Corte Constitucional. Sentencia C-864 de 2009</w:t>
      </w:r>
    </w:p>
    <w:p w14:paraId="5E0483D3" w14:textId="456D6CE2" w:rsidR="00F50A09" w:rsidRPr="00F50A09" w:rsidRDefault="00F50A09" w:rsidP="00F50A09">
      <w:pPr>
        <w:pStyle w:val="Prrafodelista"/>
        <w:numPr>
          <w:ilvl w:val="0"/>
          <w:numId w:val="2"/>
        </w:numPr>
        <w:jc w:val="both"/>
        <w:rPr>
          <w:rFonts w:ascii="Verdana" w:hAnsi="Verdana"/>
          <w:sz w:val="22"/>
          <w:szCs w:val="22"/>
        </w:rPr>
      </w:pPr>
      <w:r w:rsidRPr="00F50A09">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w:t>
      </w:r>
      <w:r w:rsidRPr="00F50A09">
        <w:rPr>
          <w:rFonts w:ascii="Verdana" w:hAnsi="Verdana"/>
          <w:sz w:val="22"/>
          <w:szCs w:val="22"/>
        </w:rPr>
        <w:lastRenderedPageBreak/>
        <w:t>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6482B66" w14:textId="77777777" w:rsidR="00A724C4" w:rsidRPr="00F50A09" w:rsidRDefault="00A724C4" w:rsidP="00F50A09">
      <w:pPr>
        <w:jc w:val="both"/>
        <w:rPr>
          <w:rFonts w:ascii="Verdana" w:hAnsi="Verdana"/>
          <w:sz w:val="22"/>
          <w:szCs w:val="22"/>
        </w:rPr>
      </w:pPr>
    </w:p>
    <w:sectPr w:rsidR="00A724C4" w:rsidRPr="00F50A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93742"/>
    <w:multiLevelType w:val="hybridMultilevel"/>
    <w:tmpl w:val="EB0A78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865258"/>
    <w:multiLevelType w:val="hybridMultilevel"/>
    <w:tmpl w:val="A06CE3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206499E"/>
    <w:multiLevelType w:val="hybridMultilevel"/>
    <w:tmpl w:val="99D87D64"/>
    <w:lvl w:ilvl="0" w:tplc="0BF875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FB375D4"/>
    <w:multiLevelType w:val="hybridMultilevel"/>
    <w:tmpl w:val="5148A1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05104849">
    <w:abstractNumId w:val="3"/>
  </w:num>
  <w:num w:numId="2" w16cid:durableId="1697123029">
    <w:abstractNumId w:val="0"/>
  </w:num>
  <w:num w:numId="3" w16cid:durableId="521239868">
    <w:abstractNumId w:val="1"/>
  </w:num>
  <w:num w:numId="4" w16cid:durableId="201870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4"/>
    <w:rsid w:val="00243CB4"/>
    <w:rsid w:val="00720AF4"/>
    <w:rsid w:val="00A724C4"/>
    <w:rsid w:val="00B54114"/>
    <w:rsid w:val="00F50A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1066"/>
  <w15:chartTrackingRefBased/>
  <w15:docId w15:val="{9E18659C-BE06-46B9-8B38-EB9F000E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41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41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41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41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41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41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41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41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41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41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41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41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41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41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41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4114"/>
    <w:rPr>
      <w:rFonts w:eastAsiaTheme="majorEastAsia" w:cstheme="majorBidi"/>
      <w:color w:val="272727" w:themeColor="text1" w:themeTint="D8"/>
    </w:rPr>
  </w:style>
  <w:style w:type="paragraph" w:styleId="Ttulo">
    <w:name w:val="Title"/>
    <w:basedOn w:val="Normal"/>
    <w:next w:val="Normal"/>
    <w:link w:val="TtuloCar"/>
    <w:uiPriority w:val="10"/>
    <w:qFormat/>
    <w:rsid w:val="00B5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41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41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41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4114"/>
    <w:pPr>
      <w:spacing w:before="160"/>
      <w:jc w:val="center"/>
    </w:pPr>
    <w:rPr>
      <w:i/>
      <w:iCs/>
      <w:color w:val="404040" w:themeColor="text1" w:themeTint="BF"/>
    </w:rPr>
  </w:style>
  <w:style w:type="character" w:customStyle="1" w:styleId="CitaCar">
    <w:name w:val="Cita Car"/>
    <w:basedOn w:val="Fuentedeprrafopredeter"/>
    <w:link w:val="Cita"/>
    <w:uiPriority w:val="29"/>
    <w:rsid w:val="00B54114"/>
    <w:rPr>
      <w:i/>
      <w:iCs/>
      <w:color w:val="404040" w:themeColor="text1" w:themeTint="BF"/>
    </w:rPr>
  </w:style>
  <w:style w:type="paragraph" w:styleId="Prrafodelista">
    <w:name w:val="List Paragraph"/>
    <w:basedOn w:val="Normal"/>
    <w:uiPriority w:val="34"/>
    <w:qFormat/>
    <w:rsid w:val="00B54114"/>
    <w:pPr>
      <w:ind w:left="720"/>
      <w:contextualSpacing/>
    </w:pPr>
  </w:style>
  <w:style w:type="character" w:styleId="nfasisintenso">
    <w:name w:val="Intense Emphasis"/>
    <w:basedOn w:val="Fuentedeprrafopredeter"/>
    <w:uiPriority w:val="21"/>
    <w:qFormat/>
    <w:rsid w:val="00B54114"/>
    <w:rPr>
      <w:i/>
      <w:iCs/>
      <w:color w:val="0F4761" w:themeColor="accent1" w:themeShade="BF"/>
    </w:rPr>
  </w:style>
  <w:style w:type="paragraph" w:styleId="Citadestacada">
    <w:name w:val="Intense Quote"/>
    <w:basedOn w:val="Normal"/>
    <w:next w:val="Normal"/>
    <w:link w:val="CitadestacadaCar"/>
    <w:uiPriority w:val="30"/>
    <w:qFormat/>
    <w:rsid w:val="00B5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4114"/>
    <w:rPr>
      <w:i/>
      <w:iCs/>
      <w:color w:val="0F4761" w:themeColor="accent1" w:themeShade="BF"/>
    </w:rPr>
  </w:style>
  <w:style w:type="character" w:styleId="Referenciaintensa">
    <w:name w:val="Intense Reference"/>
    <w:basedOn w:val="Fuentedeprrafopredeter"/>
    <w:uiPriority w:val="32"/>
    <w:qFormat/>
    <w:rsid w:val="00B54114"/>
    <w:rPr>
      <w:b/>
      <w:bCs/>
      <w:smallCaps/>
      <w:color w:val="0F4761" w:themeColor="accent1" w:themeShade="BF"/>
      <w:spacing w:val="5"/>
    </w:rPr>
  </w:style>
  <w:style w:type="character" w:styleId="Hipervnculo">
    <w:name w:val="Hyperlink"/>
    <w:basedOn w:val="Fuentedeprrafopredeter"/>
    <w:uiPriority w:val="99"/>
    <w:unhideWhenUsed/>
    <w:rsid w:val="00F50A09"/>
    <w:rPr>
      <w:color w:val="467886" w:themeColor="hyperlink"/>
      <w:u w:val="single"/>
    </w:rPr>
  </w:style>
  <w:style w:type="character" w:styleId="Mencinsinresolver">
    <w:name w:val="Unresolved Mention"/>
    <w:basedOn w:val="Fuentedeprrafopredeter"/>
    <w:uiPriority w:val="99"/>
    <w:semiHidden/>
    <w:unhideWhenUsed/>
    <w:rsid w:val="00F5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4A13A-3AC1-4F0C-A168-41DAB194E35C}"/>
</file>

<file path=customXml/itemProps2.xml><?xml version="1.0" encoding="utf-8"?>
<ds:datastoreItem xmlns:ds="http://schemas.openxmlformats.org/officeDocument/2006/customXml" ds:itemID="{F0813F40-7625-4984-B05E-A4A7EDAD7430}"/>
</file>

<file path=customXml/itemProps3.xml><?xml version="1.0" encoding="utf-8"?>
<ds:datastoreItem xmlns:ds="http://schemas.openxmlformats.org/officeDocument/2006/customXml" ds:itemID="{0D6EE291-096A-4316-A14E-304FDAD2BA6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2757</Words>
  <Characters>15164</Characters>
  <Application>Microsoft Office Word</Application>
  <DocSecurity>0</DocSecurity>
  <Lines>126</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2026-05-19T13:14:00Z</dcterms:created>
  <dcterms:modified xsi:type="dcterms:W3CDTF">2026-05-19T13:16:00Z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