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C2CB13" w14:textId="21B04711" w:rsidR="00D91557" w:rsidRPr="00D91557" w:rsidRDefault="00D91557" w:rsidP="00D91557">
      <w:pPr>
        <w:jc w:val="center"/>
        <w:rPr>
          <w:rFonts w:ascii="Verdana" w:hAnsi="Verdana"/>
          <w:b/>
          <w:bCs/>
        </w:rPr>
      </w:pPr>
      <w:r w:rsidRPr="00D91557">
        <w:rPr>
          <w:rFonts w:ascii="Verdana" w:hAnsi="Verdana"/>
          <w:b/>
          <w:bCs/>
        </w:rPr>
        <w:t>CONCEPTO 86 DE 2014</w:t>
      </w:r>
    </w:p>
    <w:p w14:paraId="40EAB610" w14:textId="0A693788" w:rsidR="00D91557" w:rsidRPr="00D91557" w:rsidRDefault="00D91557" w:rsidP="00D91557">
      <w:pPr>
        <w:jc w:val="center"/>
        <w:rPr>
          <w:rFonts w:ascii="Verdana" w:hAnsi="Verdana"/>
        </w:rPr>
      </w:pPr>
      <w:r w:rsidRPr="00D91557">
        <w:rPr>
          <w:rFonts w:ascii="Verdana" w:hAnsi="Verdana"/>
        </w:rPr>
        <w:t xml:space="preserve">(24 de </w:t>
      </w:r>
      <w:proofErr w:type="gramStart"/>
      <w:r w:rsidRPr="00D91557">
        <w:rPr>
          <w:rFonts w:ascii="Verdana" w:hAnsi="Verdana"/>
        </w:rPr>
        <w:t>Junio</w:t>
      </w:r>
      <w:proofErr w:type="gramEnd"/>
      <w:r w:rsidRPr="00D91557">
        <w:rPr>
          <w:rFonts w:ascii="Verdana" w:hAnsi="Verdana"/>
        </w:rPr>
        <w:t>)</w:t>
      </w:r>
    </w:p>
    <w:p w14:paraId="02937881" w14:textId="018410A3" w:rsidR="00D91557" w:rsidRPr="00D91557" w:rsidRDefault="00D91557" w:rsidP="00D91557">
      <w:pPr>
        <w:jc w:val="center"/>
        <w:rPr>
          <w:rFonts w:ascii="Verdana" w:hAnsi="Verdana"/>
          <w:b/>
          <w:bCs/>
        </w:rPr>
      </w:pPr>
      <w:r w:rsidRPr="00D91557">
        <w:rPr>
          <w:rFonts w:ascii="Verdana" w:hAnsi="Verdana"/>
          <w:b/>
          <w:bCs/>
        </w:rPr>
        <w:t>INSTITUTO COLOMBIANO DE BIENESTAR FAMILIAR - ICBF</w:t>
      </w:r>
    </w:p>
    <w:p w14:paraId="4C55CA95" w14:textId="427EE17B" w:rsidR="000B4793" w:rsidRDefault="00D91557" w:rsidP="00D91557">
      <w:pPr>
        <w:jc w:val="center"/>
        <w:rPr>
          <w:rFonts w:ascii="Verdana" w:hAnsi="Verdana"/>
          <w:b/>
          <w:bCs/>
        </w:rPr>
      </w:pPr>
      <w:r w:rsidRPr="00D91557">
        <w:rPr>
          <w:rFonts w:ascii="Verdana" w:hAnsi="Verdana"/>
          <w:b/>
          <w:bCs/>
        </w:rPr>
        <w:t>MEMORANDO</w:t>
      </w:r>
    </w:p>
    <w:p w14:paraId="66D05194" w14:textId="77777777" w:rsidR="00D91557" w:rsidRPr="00D91557" w:rsidRDefault="00D91557" w:rsidP="00D91557">
      <w:pPr>
        <w:jc w:val="both"/>
        <w:rPr>
          <w:rFonts w:ascii="Verdana" w:hAnsi="Verdana"/>
        </w:rPr>
      </w:pPr>
      <w:r w:rsidRPr="00D91557">
        <w:rPr>
          <w:rFonts w:ascii="Verdana" w:hAnsi="Verdana"/>
          <w:b/>
          <w:bCs/>
        </w:rPr>
        <w:t>Para:</w:t>
      </w:r>
      <w:r w:rsidRPr="00D91557">
        <w:rPr>
          <w:rFonts w:ascii="Verdana" w:hAnsi="Verdana"/>
        </w:rPr>
        <w:tab/>
        <w:t>Dirección de Servicios y Atención</w:t>
      </w:r>
    </w:p>
    <w:p w14:paraId="60D69978" w14:textId="77777777" w:rsidR="00D91557" w:rsidRPr="00D91557" w:rsidRDefault="00D91557" w:rsidP="00D91557">
      <w:pPr>
        <w:jc w:val="both"/>
        <w:rPr>
          <w:rFonts w:ascii="Verdana" w:hAnsi="Verdana"/>
        </w:rPr>
      </w:pPr>
      <w:r w:rsidRPr="00D91557">
        <w:rPr>
          <w:rFonts w:ascii="Verdana" w:hAnsi="Verdana"/>
          <w:b/>
          <w:bCs/>
        </w:rPr>
        <w:t>Asunto:</w:t>
      </w:r>
      <w:r w:rsidRPr="00D91557">
        <w:rPr>
          <w:rFonts w:ascii="Verdana" w:hAnsi="Verdana"/>
        </w:rPr>
        <w:tab/>
        <w:t>Concepto sobre la recepción de peticiones de la población desplazada en el ICBF.</w:t>
      </w:r>
    </w:p>
    <w:p w14:paraId="28450BC8" w14:textId="7A9978E4" w:rsidR="00D91557" w:rsidRPr="00D91557" w:rsidRDefault="00D91557" w:rsidP="00D91557">
      <w:pPr>
        <w:jc w:val="both"/>
        <w:rPr>
          <w:rFonts w:ascii="Verdana" w:hAnsi="Verdana"/>
        </w:rPr>
      </w:pPr>
      <w:r w:rsidRPr="00D91557">
        <w:rPr>
          <w:rFonts w:ascii="Verdana" w:hAnsi="Verdana"/>
        </w:rPr>
        <w:t>De manera atenta, conforme a lo solicitado, la Oficina Asesora Jurídica, en ejercicio de la función consignada en el Decreto 987 de 2012, artículo 6, numeral 4, “Conceptuar sobre los asuntos de contenido jurídico que de oficio considere pertinente o que sometan a su consideración las dependencias de la Entidad”, se permite emitir concepto sobre el asunto de la referencia, en los términos que siguen:</w:t>
      </w:r>
    </w:p>
    <w:p w14:paraId="1E51C7CA" w14:textId="6CBFBE15" w:rsidR="00D91557" w:rsidRPr="00D91557" w:rsidRDefault="00D91557" w:rsidP="00D91557">
      <w:pPr>
        <w:jc w:val="both"/>
        <w:rPr>
          <w:rFonts w:ascii="Verdana" w:hAnsi="Verdana"/>
          <w:b/>
          <w:bCs/>
        </w:rPr>
      </w:pPr>
      <w:r w:rsidRPr="00D91557">
        <w:rPr>
          <w:rFonts w:ascii="Verdana" w:hAnsi="Verdana"/>
          <w:b/>
          <w:bCs/>
        </w:rPr>
        <w:t>1. PROBLEMA JURÍDICO</w:t>
      </w:r>
    </w:p>
    <w:p w14:paraId="03ED8740" w14:textId="12EC2431" w:rsidR="00D91557" w:rsidRPr="00D91557" w:rsidRDefault="00D91557" w:rsidP="00D91557">
      <w:pPr>
        <w:jc w:val="both"/>
        <w:rPr>
          <w:rFonts w:ascii="Verdana" w:hAnsi="Verdana"/>
        </w:rPr>
      </w:pPr>
      <w:r w:rsidRPr="00D91557">
        <w:rPr>
          <w:rFonts w:ascii="Verdana" w:hAnsi="Verdana"/>
        </w:rPr>
        <w:t>En su solicitud de concepto, la Dirección de Servicios y Atención establece:</w:t>
      </w:r>
    </w:p>
    <w:p w14:paraId="6C05D6A3" w14:textId="08352952" w:rsidR="00D91557" w:rsidRPr="00D91557" w:rsidRDefault="00D91557" w:rsidP="00D91557">
      <w:pPr>
        <w:jc w:val="both"/>
        <w:rPr>
          <w:rFonts w:ascii="Verdana" w:hAnsi="Verdana"/>
        </w:rPr>
      </w:pPr>
      <w:r w:rsidRPr="00D91557">
        <w:rPr>
          <w:rFonts w:ascii="Verdana" w:hAnsi="Verdana"/>
        </w:rPr>
        <w:t>“Opinamos que la recepción de las peticiones que hacen referencia a la ayuda humanitaria a víctimas de desplazamiento forzado - oferta de alimentación en la transición, no deben ser recibidas en los diferentes puntos de atención del ICBF, sino por La Unidad Administrativa Especial para la Atención y Reparación de las Víctimas, pues la plataforma tecnológica a través de su aplicativo VIVIANTO, la naturaleza de sus funciones, la eficiencia y eficacia del servicio, la distribución de los puntos de atención a nivel nacional, la logística, son aspectos consolidados, que han confirmado a esta población, tenerlos como referencia para la atención a sus requerimientos. No con esto queremos dar a entender el rechazo en la atención a la población víctima, pues es un mandato legal cumplir con la implementación del programa único de alimentación, solo que la recepción de las peticiones no se ejecute desde el ICBF”.</w:t>
      </w:r>
    </w:p>
    <w:p w14:paraId="4D65916A" w14:textId="7A7EE722" w:rsidR="00D91557" w:rsidRPr="00D91557" w:rsidRDefault="00D91557" w:rsidP="00D91557">
      <w:pPr>
        <w:jc w:val="both"/>
        <w:rPr>
          <w:rFonts w:ascii="Verdana" w:hAnsi="Verdana"/>
        </w:rPr>
      </w:pPr>
      <w:r w:rsidRPr="00D91557">
        <w:rPr>
          <w:rFonts w:ascii="Verdana" w:hAnsi="Verdana"/>
        </w:rPr>
        <w:t>De esta manera, solicitamos se nos indique si es viable jurídicamente para el ICBF, que la recepción de peticiones de Ayuda Humanitaria en Transición – Componente de Alimentación, sea remitida en su totalidad a la Unidad Administrativa Especial para la Atención y Reparación de las Víctimas”. Énfasis propio.</w:t>
      </w:r>
    </w:p>
    <w:p w14:paraId="27DF7146" w14:textId="7175F3F7" w:rsidR="00D91557" w:rsidRPr="00D91557" w:rsidRDefault="00D91557" w:rsidP="00D91557">
      <w:pPr>
        <w:jc w:val="both"/>
        <w:rPr>
          <w:rFonts w:ascii="Verdana" w:hAnsi="Verdana"/>
        </w:rPr>
      </w:pPr>
      <w:r w:rsidRPr="00D91557">
        <w:rPr>
          <w:rFonts w:ascii="Verdana" w:hAnsi="Verdana"/>
        </w:rPr>
        <w:t>Consecuente con lo anterior, el problema jurídico a resolver, es: ¿Si en virtud de lo establecido en el artículo 114 del Decreto 4800 de 2011, el ICBF se puede negar a recibir los derechos de petición que interponen los hogares víctimas de desplazamiento forzado, indicando a los peticionarios que deben interponerse en los puntos de atención de la Unidad de Víctimas?</w:t>
      </w:r>
    </w:p>
    <w:p w14:paraId="7AA97BA5" w14:textId="551D4B3B" w:rsidR="00D91557" w:rsidRPr="00F6447E" w:rsidRDefault="00D91557" w:rsidP="00D91557">
      <w:pPr>
        <w:jc w:val="both"/>
        <w:rPr>
          <w:rFonts w:ascii="Verdana" w:hAnsi="Verdana"/>
          <w:b/>
          <w:bCs/>
        </w:rPr>
      </w:pPr>
      <w:r w:rsidRPr="00F6447E">
        <w:rPr>
          <w:rFonts w:ascii="Verdana" w:hAnsi="Verdana"/>
          <w:b/>
          <w:bCs/>
        </w:rPr>
        <w:t>II. ANÁLISIS DEL PROBLEMA JURÍDICO</w:t>
      </w:r>
    </w:p>
    <w:p w14:paraId="52F95C2E" w14:textId="77777777" w:rsidR="00D91557" w:rsidRPr="00D91557" w:rsidRDefault="00D91557" w:rsidP="00D91557">
      <w:pPr>
        <w:jc w:val="both"/>
        <w:rPr>
          <w:rFonts w:ascii="Verdana" w:hAnsi="Verdana"/>
        </w:rPr>
      </w:pPr>
      <w:r w:rsidRPr="00D91557">
        <w:rPr>
          <w:rFonts w:ascii="Verdana" w:hAnsi="Verdana"/>
        </w:rPr>
        <w:lastRenderedPageBreak/>
        <w:t>Con el propósito de abordar el presente problema jurídico, se procederá a exponer (1) Competencia y Responsabilidad del ICBF en la atención de los hogares víctimas de desplazamiento forzado, (2) Interpretación sistemática del Artículo 114 del Decreto 4800 de 2011, (3) Implementación del Programa de Alimentación, (4) Alcance del derecho de petición cuando es invocado por la población desplazada, (5) Procedimiento para resolver las peticiones de los Hogares Víctimas de Desplazamiento, (6) Del Sistema de Información que contempla la ley 1448 de 2011 para la atención y reparación integral de las víctimas, (7) Razones que generan dificultades a la Dirección de Servicios y Atención e (8) Intercambio de Información entre el ICBF y la Unidad de Víctimas.</w:t>
      </w:r>
    </w:p>
    <w:p w14:paraId="44539C95" w14:textId="77777777" w:rsidR="00D91557" w:rsidRPr="00D91557" w:rsidRDefault="00D91557" w:rsidP="00D91557">
      <w:pPr>
        <w:jc w:val="both"/>
        <w:rPr>
          <w:rFonts w:ascii="Verdana" w:hAnsi="Verdana"/>
        </w:rPr>
      </w:pPr>
      <w:r w:rsidRPr="00D91557">
        <w:rPr>
          <w:rFonts w:ascii="Verdana" w:hAnsi="Verdana"/>
        </w:rPr>
        <w:t>1. Competencia y Responsabilidad del ICBF en la atención de los hogares víctimas de desplazamiento forzado</w:t>
      </w:r>
    </w:p>
    <w:p w14:paraId="48C7BEDB" w14:textId="77777777" w:rsidR="00D91557" w:rsidRDefault="00D91557" w:rsidP="00D91557">
      <w:pPr>
        <w:jc w:val="both"/>
        <w:rPr>
          <w:rFonts w:ascii="Verdana" w:hAnsi="Verdana"/>
        </w:rPr>
      </w:pPr>
      <w:r w:rsidRPr="00D91557">
        <w:rPr>
          <w:rFonts w:ascii="Verdana" w:hAnsi="Verdana"/>
        </w:rPr>
        <w:t>La ley 1448 de 2011 tiene como principal objeto alcanzar la dignificación y la reparación integral de las víctimas del conflicto armado a través de un conjunto de medidas judiciales, administrativas, sociales y económicas, tanto individuales como colectivas.</w:t>
      </w:r>
    </w:p>
    <w:p w14:paraId="5BECBCEC" w14:textId="01340229" w:rsidR="00D91557" w:rsidRPr="00D91557" w:rsidRDefault="00D91557" w:rsidP="00D91557">
      <w:pPr>
        <w:jc w:val="both"/>
        <w:rPr>
          <w:rFonts w:ascii="Verdana" w:hAnsi="Verdana"/>
        </w:rPr>
      </w:pPr>
      <w:r w:rsidRPr="00D91557">
        <w:rPr>
          <w:rFonts w:ascii="Verdana" w:hAnsi="Verdana"/>
        </w:rPr>
        <w:t>Para el cumplimiento de este importante propósito, y particularmente para "potenciar la superación del estado de cosas inconstitucionales a la población desplazada y no generar retrocesos o discontinuidades en la atención", la misma ley establece la creación de un Sistema Nacional de Atención y Reparación Integral a las Víctimas, el cual está conformado por las entidades públicas del nivel gubernamental y estatal en los órdenes nacional y territoriales y las demás organizaciones públicas o privadas, encargadas de formular o ejecutar los planes, programas, proyectos y acciones específicas, tendientes a la atención y reparación integral de las víctimas.</w:t>
      </w:r>
    </w:p>
    <w:p w14:paraId="5E2E5109" w14:textId="68775129" w:rsidR="00D91557" w:rsidRPr="00D91557" w:rsidRDefault="00D91557" w:rsidP="00D91557">
      <w:pPr>
        <w:jc w:val="both"/>
        <w:rPr>
          <w:rFonts w:ascii="Verdana" w:hAnsi="Verdana"/>
        </w:rPr>
      </w:pPr>
      <w:r w:rsidRPr="00D91557">
        <w:rPr>
          <w:rFonts w:ascii="Verdana" w:hAnsi="Verdana"/>
        </w:rPr>
        <w:t>La Ley 1448 de 2011 dispuso entre sus medidas de asistencia a la población desplazada, la Atención Humanitaria, en tres fases: i) Atención Humanitaria Inmediata;</w:t>
      </w:r>
    </w:p>
    <w:p w14:paraId="1F26D623" w14:textId="33807243" w:rsidR="00D91557" w:rsidRPr="00D91557" w:rsidRDefault="00D91557" w:rsidP="00D91557">
      <w:pPr>
        <w:jc w:val="both"/>
        <w:rPr>
          <w:rFonts w:ascii="Verdana" w:hAnsi="Verdana"/>
        </w:rPr>
      </w:pPr>
      <w:proofErr w:type="spellStart"/>
      <w:r w:rsidRPr="00D91557">
        <w:rPr>
          <w:rFonts w:ascii="Verdana" w:hAnsi="Verdana"/>
        </w:rPr>
        <w:t>ii</w:t>
      </w:r>
      <w:proofErr w:type="spellEnd"/>
      <w:r w:rsidRPr="00D91557">
        <w:rPr>
          <w:rFonts w:ascii="Verdana" w:hAnsi="Verdana"/>
        </w:rPr>
        <w:t xml:space="preserve">) Atención Humanitaria de Emergencia; y </w:t>
      </w:r>
      <w:proofErr w:type="spellStart"/>
      <w:r w:rsidRPr="00D91557">
        <w:rPr>
          <w:rFonts w:ascii="Verdana" w:hAnsi="Verdana"/>
        </w:rPr>
        <w:t>iii</w:t>
      </w:r>
      <w:proofErr w:type="spellEnd"/>
      <w:r w:rsidRPr="00D91557">
        <w:rPr>
          <w:rFonts w:ascii="Verdana" w:hAnsi="Verdana"/>
        </w:rPr>
        <w:t>) Atención Humanitaria de Transición con las cuales se busca garantizar el derecho a la subsistencia mínima de esta población, dada su condición de vulnerabilidad y debilidad, pero es claro, que tales ayudas serán entregadas de acuerdo con el grado de gravedad, necesidad, y urgencia que se padezca.</w:t>
      </w:r>
    </w:p>
    <w:p w14:paraId="697671A3" w14:textId="61AC4C3B" w:rsidR="00D91557" w:rsidRPr="00D91557" w:rsidRDefault="00D91557" w:rsidP="00D91557">
      <w:pPr>
        <w:jc w:val="both"/>
        <w:rPr>
          <w:rFonts w:ascii="Verdana" w:hAnsi="Verdana"/>
        </w:rPr>
      </w:pPr>
      <w:r w:rsidRPr="00D91557">
        <w:rPr>
          <w:rFonts w:ascii="Verdana" w:hAnsi="Verdana"/>
        </w:rPr>
        <w:t>- La Atención Inmediata es la asistencia entregada a aquellas personas que manifiestan haber sido víctimas del desplazamiento y que se encuentran en situación de vulnerabilidad acentuada y requieren de albergue temporal y asistencia alimentaria. Esta ayuda se suministrará desde el momento en que se presenta la declaración, hasta que se realice la inscripción en el Registro Único de Víctimas (art. 63). Podrán acceder a esta ayuda humanitaria las personas que presenten la declaración en máximo los tres primeros meses de ocurrido el hecho que dio origen al desplazamiento.</w:t>
      </w:r>
    </w:p>
    <w:p w14:paraId="13BF7303" w14:textId="29F54FBF" w:rsidR="00D91557" w:rsidRPr="00D91557" w:rsidRDefault="00D91557" w:rsidP="00D91557">
      <w:pPr>
        <w:jc w:val="both"/>
        <w:rPr>
          <w:rFonts w:ascii="Verdana" w:hAnsi="Verdana"/>
        </w:rPr>
      </w:pPr>
      <w:r w:rsidRPr="00D91557">
        <w:rPr>
          <w:rFonts w:ascii="Verdana" w:hAnsi="Verdana"/>
        </w:rPr>
        <w:lastRenderedPageBreak/>
        <w:t>- La Atención Humanitaria de Emergencia es la ayuda a la que tienen derecho las personas u hogares en situación de desplazamiento una vez se haya expedido el acto administrativo que las incluye en el Registro Único de Víctimas y se entregará de acuerdo con el grado de necesidad y urgencia respecto de la subsistencia mínima (art. 64).</w:t>
      </w:r>
    </w:p>
    <w:p w14:paraId="0AD68D8E" w14:textId="430123D5" w:rsidR="00D91557" w:rsidRPr="00D91557" w:rsidRDefault="00D91557" w:rsidP="00D91557">
      <w:pPr>
        <w:jc w:val="both"/>
        <w:rPr>
          <w:rFonts w:ascii="Verdana" w:hAnsi="Verdana"/>
        </w:rPr>
      </w:pPr>
      <w:r w:rsidRPr="00D91557">
        <w:rPr>
          <w:rFonts w:ascii="Verdana" w:hAnsi="Verdana"/>
        </w:rPr>
        <w:t>- La atención Humanitaria de Transición es la ayuda que se entrega a la población en situación de Desplazamiento incluida en el Registro Único de Víctimas que aún no cuenta con los elementos necesarios para su subsistencia mínima, pero cuya situación, a la luz de la valoración hecha por la Unidad Administrativa Especial para la Atención y Reparación Integral a las Víctimas, no presenta las características de gravedad y urgencia que los haría destinatarios de la Atención Humanitaria de Emergencia (art. 65).</w:t>
      </w:r>
    </w:p>
    <w:p w14:paraId="1E7ECCBE" w14:textId="7AF686B8" w:rsidR="00D91557" w:rsidRPr="00D91557" w:rsidRDefault="00D91557" w:rsidP="00D91557">
      <w:pPr>
        <w:jc w:val="both"/>
        <w:rPr>
          <w:rFonts w:ascii="Verdana" w:hAnsi="Verdana"/>
        </w:rPr>
      </w:pPr>
      <w:r w:rsidRPr="00D91557">
        <w:rPr>
          <w:rFonts w:ascii="Verdana" w:hAnsi="Verdana"/>
        </w:rPr>
        <w:t xml:space="preserve">Es decir, que las personas víctimas de desplazamiento que no pueden ser beneficiarios de la última fase de la Atención Humanitaria son aquellas </w:t>
      </w:r>
      <w:proofErr w:type="gramStart"/>
      <w:r w:rsidRPr="00D91557">
        <w:rPr>
          <w:rFonts w:ascii="Verdana" w:hAnsi="Verdana"/>
        </w:rPr>
        <w:t>que</w:t>
      </w:r>
      <w:proofErr w:type="gramEnd"/>
      <w:r w:rsidRPr="00D91557">
        <w:rPr>
          <w:rFonts w:ascii="Verdana" w:hAnsi="Verdana"/>
        </w:rPr>
        <w:t xml:space="preserve"> si bien no cuentan con los elementos necesarios para su subsistencia, NO presentan características de gravedad y urgencia, esto es, que su condición de vulnerabilidad no los hace beneficiario de la ayuda humanitaria de emergencia. Tal situación goza de mayor claridad si la observamos desde la estructura de la política de atención integral a las personas desplazadas, según la cual, se entiende que los niveles vulnerabilidad (gravedad, necesidad y urgencia) que padecen los hogares desplazados deben ir disminuyendo una vez inicien el proceso de atención integral y que esto solo será posible si la atención se acompaña de las medidas de estabilización socioeconómica que señala la ley.</w:t>
      </w:r>
    </w:p>
    <w:p w14:paraId="5C0B7707" w14:textId="5E9B392D" w:rsidR="00D91557" w:rsidRPr="00D91557" w:rsidRDefault="00D91557" w:rsidP="00D91557">
      <w:pPr>
        <w:jc w:val="both"/>
        <w:rPr>
          <w:rFonts w:ascii="Verdana" w:hAnsi="Verdana"/>
        </w:rPr>
      </w:pPr>
      <w:r w:rsidRPr="00D91557">
        <w:rPr>
          <w:rFonts w:ascii="Verdana" w:hAnsi="Verdana"/>
        </w:rPr>
        <w:t>Ahora bien, el Instituto Colombiano de Bienestar Familiar – ICBF es una de las entidades que conforman el Sistema Nacional de Atención y Reparación Integral a las Víctimas (en adelante SNARIV); por lo tanto, en el marco de sus competencias y responsabilidades institucionales, se le ha asignado una responsabilidad legal concreta de brindar el componente de alimentación en la fase de Atención Humanitaria de Transición:</w:t>
      </w:r>
    </w:p>
    <w:p w14:paraId="051EBE9F" w14:textId="03ED68C4" w:rsidR="00D91557" w:rsidRPr="00D91557" w:rsidRDefault="00D91557" w:rsidP="00D91557">
      <w:pPr>
        <w:jc w:val="both"/>
        <w:rPr>
          <w:rFonts w:ascii="Verdana" w:hAnsi="Verdana"/>
        </w:rPr>
      </w:pPr>
      <w:r w:rsidRPr="00D91557">
        <w:rPr>
          <w:rFonts w:ascii="Verdana" w:hAnsi="Verdana"/>
        </w:rPr>
        <w:t>“ARTÍCULO 65. ATENCIÓN HUMANITARIA DE TRANSICIÓN: (…)</w:t>
      </w:r>
    </w:p>
    <w:p w14:paraId="5A2AAD39" w14:textId="45D8CC84" w:rsidR="00D91557" w:rsidRPr="00D91557" w:rsidRDefault="00D91557" w:rsidP="00D91557">
      <w:pPr>
        <w:jc w:val="both"/>
        <w:rPr>
          <w:rFonts w:ascii="Verdana" w:hAnsi="Verdana"/>
        </w:rPr>
      </w:pPr>
      <w:r w:rsidRPr="00D91557">
        <w:rPr>
          <w:rFonts w:ascii="Verdana" w:hAnsi="Verdana"/>
        </w:rPr>
        <w:t>PARÁGRAFO 1o. El Instituto Colombiano de Bienestar Familiar deberá adelantar las acciones pertinentes para garantizar la alimentación de los hogares en situación de desplazamiento. De igual forma, la Unidad Administrativa Especial para la Atención y Reparación Integral a las Víctimas y los entes territoriales adoptarán las medidas conducentes para garantizar el alojamiento temporal de la población en situación de desplazamiento.</w:t>
      </w:r>
    </w:p>
    <w:p w14:paraId="00500625" w14:textId="292ACF54" w:rsidR="00D91557" w:rsidRPr="00D91557" w:rsidRDefault="00D91557" w:rsidP="00D91557">
      <w:pPr>
        <w:jc w:val="both"/>
        <w:rPr>
          <w:rFonts w:ascii="Verdana" w:hAnsi="Verdana"/>
        </w:rPr>
      </w:pPr>
      <w:r w:rsidRPr="00D91557">
        <w:rPr>
          <w:rFonts w:ascii="Verdana" w:hAnsi="Verdana"/>
        </w:rPr>
        <w:t>Teniendo en cuenta este marco legal, el Decreto 4800 de 2011 al reglamentar la materia, dispone:</w:t>
      </w:r>
    </w:p>
    <w:p w14:paraId="74751776" w14:textId="6A608827" w:rsidR="00D91557" w:rsidRPr="00D91557" w:rsidRDefault="00D91557" w:rsidP="00D91557">
      <w:pPr>
        <w:jc w:val="both"/>
        <w:rPr>
          <w:rFonts w:ascii="Verdana" w:hAnsi="Verdana"/>
        </w:rPr>
      </w:pPr>
      <w:r w:rsidRPr="00D91557">
        <w:rPr>
          <w:rFonts w:ascii="Verdana" w:hAnsi="Verdana"/>
        </w:rPr>
        <w:t xml:space="preserve">“Articulo 112. Ayuda humanitaria de transición. La ayuda humanitaria de transición se brinda a la población víctima de desplazamiento incluida en el Registro Único de Víctimas, cuyo desplazamiento haya ocurrido en un término </w:t>
      </w:r>
      <w:r w:rsidRPr="00D91557">
        <w:rPr>
          <w:rFonts w:ascii="Verdana" w:hAnsi="Verdana"/>
        </w:rPr>
        <w:lastRenderedPageBreak/>
        <w:t xml:space="preserve">superior a un año contado a partir de la declaración y que, previo análisis de vulnerabilidad, evidencie la persistencia de carencias en los componentes de alimentación y alojamiento como consecuencia del desplazamiento forzado. Esta ayuda cubre los componentes de alimentación, artículos de aseo y alojamiento temporal, </w:t>
      </w:r>
      <w:proofErr w:type="gramStart"/>
      <w:r w:rsidRPr="00D91557">
        <w:rPr>
          <w:rFonts w:ascii="Verdana" w:hAnsi="Verdana"/>
        </w:rPr>
        <w:t>(….</w:t>
      </w:r>
      <w:proofErr w:type="gramEnd"/>
      <w:r w:rsidRPr="00D91557">
        <w:rPr>
          <w:rFonts w:ascii="Verdana" w:hAnsi="Verdana"/>
        </w:rPr>
        <w:t>)”</w:t>
      </w:r>
    </w:p>
    <w:p w14:paraId="0E9408C7" w14:textId="15C1E620" w:rsidR="00D91557" w:rsidRPr="00D91557" w:rsidRDefault="00D91557" w:rsidP="00D91557">
      <w:pPr>
        <w:jc w:val="both"/>
        <w:rPr>
          <w:rFonts w:ascii="Verdana" w:hAnsi="Verdana"/>
        </w:rPr>
      </w:pPr>
      <w:r w:rsidRPr="00D91557">
        <w:rPr>
          <w:rFonts w:ascii="Verdana" w:hAnsi="Verdana"/>
        </w:rPr>
        <w:t>Así las cosas, es claro de un lado que, serán beneficiarías de la Atención Humanitaria de Transición las víctimas que; a) Estén incluidas en el Registro único de víctimas;</w:t>
      </w:r>
    </w:p>
    <w:p w14:paraId="0111E6FD" w14:textId="2930476A" w:rsidR="00D91557" w:rsidRPr="00D91557" w:rsidRDefault="00D91557" w:rsidP="00D91557">
      <w:pPr>
        <w:jc w:val="both"/>
        <w:rPr>
          <w:rFonts w:ascii="Verdana" w:hAnsi="Verdana"/>
        </w:rPr>
      </w:pPr>
      <w:r w:rsidRPr="00D91557">
        <w:rPr>
          <w:rFonts w:ascii="Verdana" w:hAnsi="Verdana"/>
        </w:rPr>
        <w:t>b) Cuyo desplazamiento haya ocurrido en un término superior a 1 año a partir de la declaración;</w:t>
      </w:r>
    </w:p>
    <w:p w14:paraId="260D3922" w14:textId="0ACE2D64" w:rsidR="00D91557" w:rsidRPr="00D91557" w:rsidRDefault="00D91557" w:rsidP="00D91557">
      <w:pPr>
        <w:jc w:val="both"/>
        <w:rPr>
          <w:rFonts w:ascii="Verdana" w:hAnsi="Verdana"/>
        </w:rPr>
      </w:pPr>
      <w:r w:rsidRPr="00D91557">
        <w:rPr>
          <w:rFonts w:ascii="Verdana" w:hAnsi="Verdana"/>
        </w:rPr>
        <w:t>c) No cuenten con los elementos necesarios para su subsistencia mínima, es decir, persista la situación de carencia de componentes de alimentación y alojamiento, como consecuencia del desplazamiento forzado; d) Que de la valoración que realice la UARIV se concluya que no existen características de gravedad y urgencia que los haga destinatarios de atención Humanitaria de Emergencia.</w:t>
      </w:r>
    </w:p>
    <w:p w14:paraId="42F7DBB0" w14:textId="22B00DAD" w:rsidR="00D91557" w:rsidRPr="00D91557" w:rsidRDefault="00D91557" w:rsidP="00D91557">
      <w:pPr>
        <w:jc w:val="both"/>
        <w:rPr>
          <w:rFonts w:ascii="Verdana" w:hAnsi="Verdana"/>
        </w:rPr>
      </w:pPr>
      <w:r w:rsidRPr="00D91557">
        <w:rPr>
          <w:rFonts w:ascii="Verdana" w:hAnsi="Verdana"/>
        </w:rPr>
        <w:t>Este último elemento es de una relevancia fundamental, puesto que la responsabilidad del ICBF para brindar el componente de alimentación como parte de la ayuda humanitaria de transición, presupone necesariamente la valoración o caracterización previa que realice la UARIV del núcleo familiar víctima de desplazamiento de acuerdo con los elementos citados y la posterior remisión de los casos en transición al ICBF para que sea posible brindar por parte de esta entidad el componente de alimentación correspondiente.</w:t>
      </w:r>
    </w:p>
    <w:p w14:paraId="3FD9FB19" w14:textId="6CC660A2" w:rsidR="00D91557" w:rsidRPr="00D91557" w:rsidRDefault="00D91557" w:rsidP="00D91557">
      <w:pPr>
        <w:jc w:val="both"/>
        <w:rPr>
          <w:rFonts w:ascii="Verdana" w:hAnsi="Verdana"/>
        </w:rPr>
      </w:pPr>
      <w:r w:rsidRPr="00D91557">
        <w:rPr>
          <w:rFonts w:ascii="Verdana" w:hAnsi="Verdana"/>
        </w:rPr>
        <w:t>Visto lo anterior, debe indicarse de manera preliminar que el ICBF como entidad estatal y miembro del SNARIV, deben recepcionar toda clase de petición que sea elevada por la población desplazada, y cuando no sea de su competencia, deberá precederse a dar aplicación a los dispuesto en la ley 1437 de 2011 “Por la cual se expidió el Código de Procedimiento Administrativo y de lo Contencioso Administrativo”, en relación con el procedimiento a seguir en caso de que el receptor de la petición es un funcionario sin competencia para resolver.</w:t>
      </w:r>
    </w:p>
    <w:p w14:paraId="39AFF7C4" w14:textId="11760E68" w:rsidR="00D91557" w:rsidRPr="00D91557" w:rsidRDefault="00D91557" w:rsidP="00D91557">
      <w:pPr>
        <w:jc w:val="both"/>
        <w:rPr>
          <w:rFonts w:ascii="Verdana" w:hAnsi="Verdana"/>
        </w:rPr>
      </w:pPr>
      <w:r w:rsidRPr="00D91557">
        <w:rPr>
          <w:rFonts w:ascii="Verdana" w:hAnsi="Verdana"/>
        </w:rPr>
        <w:t>Artículo 21. Funcionario sin competencia. Si la autoridad a quien se dirige la petición no es la competente, informará de inmediato al interesado si este actúa verbalmente, o dentro de los diez (10) días siguientes al de la recepción, sí obró por escrito.</w:t>
      </w:r>
    </w:p>
    <w:p w14:paraId="37C4652F" w14:textId="79136074" w:rsidR="00D91557" w:rsidRPr="00D91557" w:rsidRDefault="00D91557" w:rsidP="00D91557">
      <w:pPr>
        <w:jc w:val="both"/>
        <w:rPr>
          <w:rFonts w:ascii="Verdana" w:hAnsi="Verdana"/>
        </w:rPr>
      </w:pPr>
      <w:r w:rsidRPr="00D91557">
        <w:rPr>
          <w:rFonts w:ascii="Verdana" w:hAnsi="Verdana"/>
        </w:rPr>
        <w:t>Dentro del término señalado remitirá la petición al competente y enviará copia del oficio remisorio al peticionario.</w:t>
      </w:r>
    </w:p>
    <w:p w14:paraId="04FB06BB" w14:textId="77683693" w:rsidR="00D91557" w:rsidRPr="00D91557" w:rsidRDefault="00D91557" w:rsidP="00D91557">
      <w:pPr>
        <w:jc w:val="both"/>
        <w:rPr>
          <w:rFonts w:ascii="Verdana" w:hAnsi="Verdana"/>
        </w:rPr>
      </w:pPr>
      <w:r w:rsidRPr="00D91557">
        <w:rPr>
          <w:rFonts w:ascii="Verdana" w:hAnsi="Verdana"/>
        </w:rPr>
        <w:t>Los términos para decidir se contarán a partir del día siguiente a la recepción de la petición por la autoridad competente.</w:t>
      </w:r>
    </w:p>
    <w:p w14:paraId="3B761239" w14:textId="7402B017" w:rsidR="00D91557" w:rsidRPr="00D91557" w:rsidRDefault="00D91557" w:rsidP="00D91557">
      <w:pPr>
        <w:jc w:val="both"/>
        <w:rPr>
          <w:rFonts w:ascii="Verdana" w:hAnsi="Verdana"/>
        </w:rPr>
      </w:pPr>
      <w:r w:rsidRPr="00D91557">
        <w:rPr>
          <w:rFonts w:ascii="Verdana" w:hAnsi="Verdana"/>
        </w:rPr>
        <w:t xml:space="preserve">En conclusión, el ICBF o cualquier otra Entidad del SNARIV deben estar en capacidad de resolver las peticiones de las víctimas de desplazamiento, ya sea </w:t>
      </w:r>
      <w:r w:rsidRPr="00D91557">
        <w:rPr>
          <w:rFonts w:ascii="Verdana" w:hAnsi="Verdana"/>
        </w:rPr>
        <w:lastRenderedPageBreak/>
        <w:t>de su competencia o remitiendo a la Entidad que debe resolver de fondo la petición.</w:t>
      </w:r>
    </w:p>
    <w:p w14:paraId="64EBC2FD" w14:textId="262A6AF4" w:rsidR="00D91557" w:rsidRPr="00D91557" w:rsidRDefault="00D91557" w:rsidP="00D91557">
      <w:pPr>
        <w:jc w:val="both"/>
        <w:rPr>
          <w:rFonts w:ascii="Verdana" w:hAnsi="Verdana"/>
        </w:rPr>
      </w:pPr>
      <w:r w:rsidRPr="00D91557">
        <w:rPr>
          <w:rFonts w:ascii="Verdana" w:hAnsi="Verdana"/>
        </w:rPr>
        <w:t>2. Interpretación sistemática el Artículo 114 del Decreto 4800 de 2011</w:t>
      </w:r>
    </w:p>
    <w:p w14:paraId="1459A171" w14:textId="4455CB36" w:rsidR="00D91557" w:rsidRPr="00D91557" w:rsidRDefault="00D91557" w:rsidP="00D91557">
      <w:pPr>
        <w:jc w:val="both"/>
        <w:rPr>
          <w:rFonts w:ascii="Verdana" w:hAnsi="Verdana"/>
        </w:rPr>
      </w:pPr>
      <w:r w:rsidRPr="00D91557">
        <w:rPr>
          <w:rFonts w:ascii="Verdana" w:hAnsi="Verdana"/>
        </w:rPr>
        <w:t>El artículo 114 del Decreto 4800 de 2011, establece: “La Unidad Administrativa Especial para la Atención y Reparación de las Victimas es responsable de la recepción, caracterización y remisión de las solicitudes realizadas por la población al Instituto Colombiano de Bienestar Familiar, así como de brindar acompañamiento técnico al Instituto en el desarrollo y seguimiento al programa." Énfasis Propios.</w:t>
      </w:r>
    </w:p>
    <w:p w14:paraId="240D0319" w14:textId="2A61B5C7" w:rsidR="00D91557" w:rsidRPr="00D91557" w:rsidRDefault="00D91557" w:rsidP="00D91557">
      <w:pPr>
        <w:jc w:val="both"/>
        <w:rPr>
          <w:rFonts w:ascii="Verdana" w:hAnsi="Verdana"/>
        </w:rPr>
      </w:pPr>
      <w:r w:rsidRPr="00D91557">
        <w:rPr>
          <w:rFonts w:ascii="Verdana" w:hAnsi="Verdana"/>
        </w:rPr>
        <w:t>De la interpretación armónica del capítulo III de la Ley 1448 de 2011 y demás normas concordantes, la finalidad de que la Unidad Administrativa Especial para la Atención y Reparación de las Victimas, sea la Entidad responsable de la recepción de las solicitudes, radica en que para el otorgamiento de la ayuda humanitaria, ya sea en la etapa de emergencia o en la etapa de transición, el legislador incluyo un requisito en la Ley (artículos 64 y 65); esto es, que los beneficios de la ayuda se encuentren inscritos en el Registro Único de Víctimas.</w:t>
      </w:r>
    </w:p>
    <w:p w14:paraId="0CCB6732" w14:textId="018760FF" w:rsidR="00D91557" w:rsidRPr="00D91557" w:rsidRDefault="00D91557" w:rsidP="00D91557">
      <w:pPr>
        <w:jc w:val="both"/>
        <w:rPr>
          <w:rFonts w:ascii="Verdana" w:hAnsi="Verdana"/>
        </w:rPr>
      </w:pPr>
      <w:r w:rsidRPr="00D91557">
        <w:rPr>
          <w:rFonts w:ascii="Verdana" w:hAnsi="Verdana"/>
        </w:rPr>
        <w:t>Así mismo, debe considerarse que para establecer competencia del ICBF en la atención de un hogar y la comunicación y/o respuesta de un derecho de petición, se requiere que, de la valoración que realice la UARIV se concluya que no existen características de gravedad y urgencia que haga que los destinatarios de atención deban recibirla en la Etapa de Ayuda Humanitaria de Emergencia.</w:t>
      </w:r>
    </w:p>
    <w:p w14:paraId="004973B6" w14:textId="505040E4" w:rsidR="00D91557" w:rsidRPr="00D91557" w:rsidRDefault="00D91557" w:rsidP="00D91557">
      <w:pPr>
        <w:jc w:val="both"/>
        <w:rPr>
          <w:rFonts w:ascii="Verdana" w:hAnsi="Verdana"/>
        </w:rPr>
      </w:pPr>
      <w:r w:rsidRPr="00D91557">
        <w:rPr>
          <w:rFonts w:ascii="Verdana" w:hAnsi="Verdana"/>
        </w:rPr>
        <w:t>Lo anterior, no implica que el artículo 114 del Decreto 4800 de 2011 faculte al ICBF a negarse a recibir las peticiones de ayuda humanitaria, como quiera que esta tiene una relación directa con otros derechos como la vida y la integridad física y moral, razón por la cual, en las consideraciones relativas al derecho a la asistencia humanitaria se mezclan necesariamente la protección de los DDHH y el respeto por el DIH.</w:t>
      </w:r>
    </w:p>
    <w:p w14:paraId="285F56D3" w14:textId="4D8837EB" w:rsidR="00D91557" w:rsidRPr="00D91557" w:rsidRDefault="00D91557" w:rsidP="00D91557">
      <w:pPr>
        <w:jc w:val="both"/>
        <w:rPr>
          <w:rFonts w:ascii="Verdana" w:hAnsi="Verdana"/>
        </w:rPr>
      </w:pPr>
      <w:r w:rsidRPr="00D91557">
        <w:rPr>
          <w:rFonts w:ascii="Verdana" w:hAnsi="Verdana"/>
        </w:rPr>
        <w:t>Así las cosas, la interpretación del citado artículo debe acoger los precedentes judiciales dictados por la Corte Constitucional como máximo órgano de interpretación de la Constitución, con el fin de aplicar los presupuestos esenciales del Estado Social y Constitucional de Derecho; así como desarrollar los fines esenciales del Estado, tales como garantizar la efectividad de los principios, derechos y deberes consagrados en la Constitución;[16] y reconocer a las víctimas de desplazamiento sus derechos y garantías como, el debido proceso y principio de legalidad (art. 29 CP); el derecho a la igualdad (art. 13 CP); entre otros.</w:t>
      </w:r>
    </w:p>
    <w:p w14:paraId="5164A8FB" w14:textId="2EF1F9CB" w:rsidR="00D91557" w:rsidRPr="00D91557" w:rsidRDefault="00D91557" w:rsidP="00D91557">
      <w:pPr>
        <w:jc w:val="both"/>
        <w:rPr>
          <w:rFonts w:ascii="Verdana" w:hAnsi="Verdana"/>
        </w:rPr>
      </w:pPr>
      <w:r w:rsidRPr="00D91557">
        <w:rPr>
          <w:rFonts w:ascii="Verdana" w:hAnsi="Verdana"/>
        </w:rPr>
        <w:t>Por lo anterior, la interpretación del artículo 114 del Decreto 4800 de 2011, debe atender los precedentes judiciales dictados por la Corte Constitucional en la Sentencia T-025/04, así como de los autos de seguimiento de la misma.</w:t>
      </w:r>
    </w:p>
    <w:p w14:paraId="0D363729" w14:textId="12F902AC" w:rsidR="00D91557" w:rsidRPr="00D91557" w:rsidRDefault="00D91557" w:rsidP="00D91557">
      <w:pPr>
        <w:jc w:val="both"/>
        <w:rPr>
          <w:rFonts w:ascii="Verdana" w:hAnsi="Verdana"/>
        </w:rPr>
      </w:pPr>
      <w:r w:rsidRPr="00D91557">
        <w:rPr>
          <w:rFonts w:ascii="Verdana" w:hAnsi="Verdana"/>
        </w:rPr>
        <w:t>3. Implementación del Programa de Alimentación</w:t>
      </w:r>
    </w:p>
    <w:p w14:paraId="2E23DEAF" w14:textId="75E838E7" w:rsidR="00D91557" w:rsidRPr="00D91557" w:rsidRDefault="00D91557" w:rsidP="00D91557">
      <w:pPr>
        <w:jc w:val="both"/>
        <w:rPr>
          <w:rFonts w:ascii="Verdana" w:hAnsi="Verdana"/>
        </w:rPr>
      </w:pPr>
      <w:r w:rsidRPr="00D91557">
        <w:rPr>
          <w:rFonts w:ascii="Verdana" w:hAnsi="Verdana"/>
        </w:rPr>
        <w:lastRenderedPageBreak/>
        <w:t>El Instituto Colombiano de Bienestar Familiar tiene la responsabilidad de garantizar el componente de alimentación de la población desplazada a los hogares que se encuentran en etapa de transición, por lo cual, en los informes entregados a la Corte Constitucional las diferentes entidades del Gobierno establecieron:</w:t>
      </w:r>
    </w:p>
    <w:p w14:paraId="182517BD" w14:textId="68DBED80" w:rsidR="00D91557" w:rsidRPr="00D91557" w:rsidRDefault="00D91557" w:rsidP="00D91557">
      <w:pPr>
        <w:jc w:val="both"/>
        <w:rPr>
          <w:rFonts w:ascii="Verdana" w:hAnsi="Verdana"/>
        </w:rPr>
      </w:pPr>
      <w:r w:rsidRPr="00D91557">
        <w:rPr>
          <w:rFonts w:ascii="Verdana" w:hAnsi="Verdana"/>
        </w:rPr>
        <w:t xml:space="preserve">“dentro de los estudios previos elaborados por el ICBF, se realizó un </w:t>
      </w:r>
      <w:proofErr w:type="spellStart"/>
      <w:r w:rsidRPr="00D91557">
        <w:rPr>
          <w:rFonts w:ascii="Verdana" w:hAnsi="Verdana"/>
        </w:rPr>
        <w:t>costeo</w:t>
      </w:r>
      <w:proofErr w:type="spellEnd"/>
      <w:r w:rsidRPr="00D91557">
        <w:rPr>
          <w:rFonts w:ascii="Verdana" w:hAnsi="Verdana"/>
        </w:rPr>
        <w:t xml:space="preserve"> inicial, con base en toda la población incluida en el RUPD, lo cual tendría un valor total de 1.4 billones de pesos anuales; sin embargo, teniendo en cuenta que la totalidad de los hogares incluidos en el RUPD no serían objeto de atención, teniendo en cuenta la reserva técnica y aquellos hogares que no requieren de este apoyo, se plantea una ejecución preliminar para el año de 2012 de este programa de alimentación, incluyendo un componente básico de atención psicosocial, para 212.905 hogares, con un valor total de $349.891 millones."[18]</w:t>
      </w:r>
    </w:p>
    <w:p w14:paraId="13C2E1AD" w14:textId="1BDF8577" w:rsidR="00D91557" w:rsidRPr="00D91557" w:rsidRDefault="00D91557" w:rsidP="00D91557">
      <w:pPr>
        <w:jc w:val="both"/>
        <w:rPr>
          <w:rFonts w:ascii="Verdana" w:hAnsi="Verdana"/>
        </w:rPr>
      </w:pPr>
      <w:r w:rsidRPr="00D91557">
        <w:rPr>
          <w:rFonts w:ascii="Verdana" w:hAnsi="Verdana"/>
        </w:rPr>
        <w:t>Consecuente con lo anterior, el ICBF creó el Programa de Alimentación en Transición de los Hogares Desplazados mediante Resolución No. 2927 del 30 de abril de 2013, al respecto la Corte Constitucional dejó consignado en el auto 099 de 2013:</w:t>
      </w:r>
    </w:p>
    <w:p w14:paraId="7AE95DD1" w14:textId="5F728636" w:rsidR="00D91557" w:rsidRPr="00D91557" w:rsidRDefault="00D91557" w:rsidP="00D91557">
      <w:pPr>
        <w:jc w:val="both"/>
        <w:rPr>
          <w:rFonts w:ascii="Verdana" w:hAnsi="Verdana"/>
        </w:rPr>
      </w:pPr>
      <w:r w:rsidRPr="00D91557">
        <w:rPr>
          <w:rFonts w:ascii="Verdana" w:hAnsi="Verdana"/>
        </w:rPr>
        <w:t>“A partir del año 2013, el ICBF implementará el programa de Alimentación Transicional dirigido a los Hogares víctimas del conflicto armado en situación de desplazamiento. Esta entidad brindará la alimentación en forma temporal contribuyendo al restablecimiento y mejoramiento en las condiciones de vida para alcanzar el goce efectivo de sus derechos.</w:t>
      </w:r>
    </w:p>
    <w:p w14:paraId="39F5ECDC" w14:textId="40FC2C3E" w:rsidR="00D91557" w:rsidRPr="00D91557" w:rsidRDefault="00D91557" w:rsidP="00D91557">
      <w:pPr>
        <w:jc w:val="both"/>
        <w:rPr>
          <w:rFonts w:ascii="Verdana" w:hAnsi="Verdana"/>
        </w:rPr>
      </w:pPr>
      <w:r w:rsidRPr="00D91557">
        <w:rPr>
          <w:rFonts w:ascii="Verdana" w:hAnsi="Verdana"/>
        </w:rPr>
        <w:t xml:space="preserve">(…) El ICBF realizó la inscripción del programa en el Departamento Nacional de Planeación en el mes de </w:t>
      </w:r>
      <w:proofErr w:type="gramStart"/>
      <w:r w:rsidRPr="00D91557">
        <w:rPr>
          <w:rFonts w:ascii="Verdana" w:hAnsi="Verdana"/>
        </w:rPr>
        <w:t>Abril</w:t>
      </w:r>
      <w:proofErr w:type="gramEnd"/>
      <w:r w:rsidRPr="00D91557">
        <w:rPr>
          <w:rFonts w:ascii="Verdana" w:hAnsi="Verdana"/>
        </w:rPr>
        <w:t xml:space="preserve"> de 2012, con el nombre de “Asistencia Alimentaria en la Transición a la Población Desplazada”. En </w:t>
      </w:r>
      <w:proofErr w:type="gramStart"/>
      <w:r w:rsidRPr="00D91557">
        <w:rPr>
          <w:rFonts w:ascii="Verdana" w:hAnsi="Verdana"/>
        </w:rPr>
        <w:t>Junio</w:t>
      </w:r>
      <w:proofErr w:type="gramEnd"/>
      <w:r w:rsidRPr="00D91557">
        <w:rPr>
          <w:rFonts w:ascii="Verdana" w:hAnsi="Verdana"/>
        </w:rPr>
        <w:t xml:space="preserve"> de 2012 se realizó la solicitud presupuestal, partiendo del comportamiento histórico de pagos en el 2011 de $ 621.000.000.000, de los cuales fueron aprobados por el Departamento de Planeación Nacional la suma de $ 200.000.000.000 para el pago de la ayuda humanitaria en la transición y costos operativos del programa. Con esta asignación la Entidad iniciará el proceso de ejecución en el año 2013”.</w:t>
      </w:r>
    </w:p>
    <w:p w14:paraId="6C66AC2D" w14:textId="253A2DC7" w:rsidR="00D91557" w:rsidRPr="00D91557" w:rsidRDefault="00D91557" w:rsidP="00D91557">
      <w:pPr>
        <w:jc w:val="both"/>
        <w:rPr>
          <w:rFonts w:ascii="Verdana" w:hAnsi="Verdana"/>
        </w:rPr>
      </w:pPr>
      <w:r w:rsidRPr="00D91557">
        <w:rPr>
          <w:rFonts w:ascii="Verdana" w:hAnsi="Verdana"/>
        </w:rPr>
        <w:t>La motivación de la solicitud de concepto de la Dirección de Servicios y Atención es: “…la Unidad Administrativa Especial para la Atención y Reparación de las Víctimas, pues la plataforma tecnológica a través de su aplicativo VIVIANTO, la naturaleza de sus funciones, la eficiencia y eficacia del servicio, la distribución de los puntos de atención a nivel nacional, la logística, son aspectos consolidados, que han confirmado a esta población, tenerlos como referencia para la atención a sus requerimientos”. Énfasis propio, no obstante, en el auto 099 de 2013 la Corte Constitucional establece:</w:t>
      </w:r>
    </w:p>
    <w:p w14:paraId="186C5AFA" w14:textId="5372A363" w:rsidR="00D91557" w:rsidRPr="00D91557" w:rsidRDefault="00D91557" w:rsidP="00D91557">
      <w:pPr>
        <w:jc w:val="both"/>
        <w:rPr>
          <w:rFonts w:ascii="Verdana" w:hAnsi="Verdana"/>
        </w:rPr>
      </w:pPr>
      <w:r w:rsidRPr="00D91557">
        <w:rPr>
          <w:rFonts w:ascii="Verdana" w:hAnsi="Verdana"/>
        </w:rPr>
        <w:t>“La Corte Constitucional encontró casos en los que la ayuda de emergencia no llega a aquellos ellos lugares que no cuentan con la presencia de los puntos de atención.</w:t>
      </w:r>
    </w:p>
    <w:p w14:paraId="40E9B795" w14:textId="6C33C7E7" w:rsidR="00D91557" w:rsidRPr="00D91557" w:rsidRDefault="00D91557" w:rsidP="00D91557">
      <w:pPr>
        <w:jc w:val="both"/>
        <w:rPr>
          <w:rFonts w:ascii="Verdana" w:hAnsi="Verdana"/>
        </w:rPr>
      </w:pPr>
      <w:r w:rsidRPr="00D91557">
        <w:rPr>
          <w:rFonts w:ascii="Verdana" w:hAnsi="Verdana"/>
        </w:rPr>
        <w:lastRenderedPageBreak/>
        <w:t>Por lo tanto, la población desplazada para poder acceder a la atención en general y a la ayuda de emergencia en particular tiene que trasladarse a los municipios que efectivamente cuentan con tales puntos, lo que implica hacer un esfuerzo económico significativo, emprender grandes viajes y hacer largas esperas de días y noches enteras, como quedó recogido en el ANEXO 1. Por esta razón, las Organizaciones de Población Desplazada se quejan por la falta de puntos de atención en sus municipios, como ocurre en la Guajira: “Preocupa, especialmente, [que] no hay una política clara en materia de viabilizar la Unidad Atención y Orientación a la población desplazada”.</w:t>
      </w:r>
    </w:p>
    <w:p w14:paraId="3BDE684B" w14:textId="1988DDBC" w:rsidR="00D91557" w:rsidRPr="00D91557" w:rsidRDefault="00D91557" w:rsidP="00D91557">
      <w:pPr>
        <w:jc w:val="both"/>
        <w:rPr>
          <w:rFonts w:ascii="Verdana" w:hAnsi="Verdana"/>
        </w:rPr>
      </w:pPr>
      <w:r w:rsidRPr="00D91557">
        <w:rPr>
          <w:rFonts w:ascii="Verdana" w:hAnsi="Verdana"/>
        </w:rPr>
        <w:t>En algunas ocasiones, cuando la población desplazada tiene acceso a los mencionados puntos de atención, el trato que reciben por parte de las autoridades no es acorde con su protección constitucional, quienes se abstienen de brindar una atención adecuada, definitiva y directa frente a su apremiante situación de tal manera que les imponen la carga de realizar un “peregrinaje institucional” para poder acceder a las ayudas a las que tiene derecho, como se documentó ante esta Corporación con los casos del municipio de Medellín y el departamento de Santander. Énfasis propio.</w:t>
      </w:r>
    </w:p>
    <w:p w14:paraId="512F5159" w14:textId="00D5EE39" w:rsidR="00D91557" w:rsidRPr="00D91557" w:rsidRDefault="00D91557" w:rsidP="00D91557">
      <w:pPr>
        <w:jc w:val="both"/>
        <w:rPr>
          <w:rFonts w:ascii="Verdana" w:hAnsi="Verdana"/>
        </w:rPr>
      </w:pPr>
      <w:r w:rsidRPr="00D91557">
        <w:rPr>
          <w:rFonts w:ascii="Verdana" w:hAnsi="Verdana"/>
        </w:rPr>
        <w:t>Ahora bien, de acuerdo con el Gobierno Nacional, los municipios que no cuentan con puntos de atención asistirán a la población desplazada “mediante enlaces designados por las Alcaldías (Personerías, Secretarías Municipales o Distritales, etc.)”</w:t>
      </w:r>
    </w:p>
    <w:p w14:paraId="71C75CDF" w14:textId="6812CA51" w:rsidR="00D91557" w:rsidRPr="00D91557" w:rsidRDefault="00D91557" w:rsidP="00D91557">
      <w:pPr>
        <w:jc w:val="both"/>
        <w:rPr>
          <w:rFonts w:ascii="Verdana" w:hAnsi="Verdana"/>
        </w:rPr>
      </w:pPr>
      <w:r w:rsidRPr="00D91557">
        <w:rPr>
          <w:rFonts w:ascii="Verdana" w:hAnsi="Verdana"/>
        </w:rPr>
        <w:t>A pesar de este esquema, la Corte ha recibido información según la cual la atención por medio de los enlaces municipales, particularmente las Personerías, es deficiente. Por esta razón la población desplazada se ve forzada, nuevamente a trasladarse a los lugares que cuentan con puntos de atención para acceder a la ayuda de emergencia, como quedó documentado con el caso de Puerto Libertador, Córdoba.</w:t>
      </w:r>
    </w:p>
    <w:p w14:paraId="0441ED98" w14:textId="450AFFCB" w:rsidR="00D91557" w:rsidRPr="00D91557" w:rsidRDefault="00D91557" w:rsidP="00D91557">
      <w:pPr>
        <w:jc w:val="both"/>
        <w:rPr>
          <w:rFonts w:ascii="Verdana" w:hAnsi="Verdana"/>
        </w:rPr>
      </w:pPr>
      <w:r w:rsidRPr="00D91557">
        <w:rPr>
          <w:rFonts w:ascii="Verdana" w:hAnsi="Verdana"/>
        </w:rPr>
        <w:t xml:space="preserve">Sobre </w:t>
      </w:r>
      <w:proofErr w:type="gramStart"/>
      <w:r w:rsidRPr="00D91557">
        <w:rPr>
          <w:rFonts w:ascii="Verdana" w:hAnsi="Verdana"/>
        </w:rPr>
        <w:t>éste</w:t>
      </w:r>
      <w:proofErr w:type="gramEnd"/>
      <w:r w:rsidRPr="00D91557">
        <w:rPr>
          <w:rFonts w:ascii="Verdana" w:hAnsi="Verdana"/>
        </w:rPr>
        <w:t xml:space="preserve"> punto coinciden tanto el Gobierno Nacional como las Organizaciones de Población Desplazada.</w:t>
      </w:r>
    </w:p>
    <w:p w14:paraId="134FF4EA" w14:textId="5203DF71" w:rsidR="00D91557" w:rsidRPr="00D91557" w:rsidRDefault="00D91557" w:rsidP="00D91557">
      <w:pPr>
        <w:jc w:val="both"/>
        <w:rPr>
          <w:rFonts w:ascii="Verdana" w:hAnsi="Verdana"/>
        </w:rPr>
      </w:pPr>
      <w:r w:rsidRPr="00D91557">
        <w:rPr>
          <w:rFonts w:ascii="Verdana" w:hAnsi="Verdana"/>
        </w:rPr>
        <w:t xml:space="preserve">Otra estrategia prevista para atender a la población desplazada en aquellos lugares que no cuentan con la presencia de puntos de atención es la realización de jornadas de </w:t>
      </w:r>
      <w:proofErr w:type="gramStart"/>
      <w:r w:rsidRPr="00D91557">
        <w:rPr>
          <w:rFonts w:ascii="Verdana" w:hAnsi="Verdana"/>
        </w:rPr>
        <w:t>atención,(</w:t>
      </w:r>
      <w:proofErr w:type="gramEnd"/>
      <w:r w:rsidRPr="00D91557">
        <w:rPr>
          <w:rFonts w:ascii="Verdana" w:hAnsi="Verdana"/>
        </w:rPr>
        <w:t>27) aunque a esta Corte le han informado acerca de la insuficiencia de tales jornadas para responder a la magnitud del fenómeno, como en el Arenal (Bolívar).</w:t>
      </w:r>
    </w:p>
    <w:p w14:paraId="517BD7B3" w14:textId="799FE3F0" w:rsidR="00D91557" w:rsidRPr="00D91557" w:rsidRDefault="00D91557" w:rsidP="00D91557">
      <w:pPr>
        <w:jc w:val="both"/>
        <w:rPr>
          <w:rFonts w:ascii="Verdana" w:hAnsi="Verdana"/>
        </w:rPr>
      </w:pPr>
      <w:r w:rsidRPr="00D91557">
        <w:rPr>
          <w:rFonts w:ascii="Verdana" w:hAnsi="Verdana"/>
        </w:rPr>
        <w:t xml:space="preserve">Ahora bien, de acuerdo con el Gobierno Nacional, los esfuerzos realizados por la Nación para impulsar la firma de los convenios para la implementación y mantenimiento de las </w:t>
      </w:r>
      <w:proofErr w:type="spellStart"/>
      <w:r w:rsidRPr="00D91557">
        <w:rPr>
          <w:rFonts w:ascii="Verdana" w:hAnsi="Verdana"/>
        </w:rPr>
        <w:t>UAO,s</w:t>
      </w:r>
      <w:proofErr w:type="spellEnd"/>
      <w:r w:rsidRPr="00D91557">
        <w:rPr>
          <w:rFonts w:ascii="Verdana" w:hAnsi="Verdana"/>
        </w:rPr>
        <w:t xml:space="preserve"> no siempre son correspondidos por algunas entidades territoriales, de tal manera que municipio con altas tasas de recepción no cuentan con un espacio para instalar un punto de atención; los puntos son insuficientes frente a la cantidad de personas desplazadas; o el espacio disponible no es accesible para personas con discapacidad”.(28)</w:t>
      </w:r>
    </w:p>
    <w:p w14:paraId="2C52EA1E" w14:textId="0142DAC6" w:rsidR="00D91557" w:rsidRPr="00D91557" w:rsidRDefault="00D91557" w:rsidP="00D91557">
      <w:pPr>
        <w:jc w:val="both"/>
        <w:rPr>
          <w:rFonts w:ascii="Verdana" w:hAnsi="Verdana"/>
        </w:rPr>
      </w:pPr>
      <w:proofErr w:type="gramStart"/>
      <w:r w:rsidRPr="00D91557">
        <w:rPr>
          <w:rFonts w:ascii="Verdana" w:hAnsi="Verdana"/>
        </w:rPr>
        <w:lastRenderedPageBreak/>
        <w:t>Una mención especial merecen</w:t>
      </w:r>
      <w:proofErr w:type="gramEnd"/>
      <w:r w:rsidRPr="00D91557">
        <w:rPr>
          <w:rFonts w:ascii="Verdana" w:hAnsi="Verdana"/>
        </w:rPr>
        <w:t xml:space="preserve"> los casos en los que el conflicto armado interno dificulta el acceso de la población desplazada a la ayuda humanitaria. Esta situación puede presentarse en distintos escenarios. Sin pretender ofrecer una Corte ha encontrado casos en que la presencia de impide que las autoridades nacionales entreguen la ayuda humanitaria a población confinada/desplazada; y en los que su entrega se encuentra supeditada a una autorización por parte de la Fuerza Pública, en situaciones en las que su enfrentamiento con grupos armados al margen de la ley dificulta la entrega de la ayuda.</w:t>
      </w:r>
    </w:p>
    <w:p w14:paraId="19514527" w14:textId="04C697C0" w:rsidR="00D91557" w:rsidRPr="00D91557" w:rsidRDefault="00D91557" w:rsidP="00D91557">
      <w:pPr>
        <w:jc w:val="both"/>
        <w:rPr>
          <w:rFonts w:ascii="Verdana" w:hAnsi="Verdana"/>
        </w:rPr>
      </w:pPr>
      <w:r w:rsidRPr="00D91557">
        <w:rPr>
          <w:rFonts w:ascii="Verdana" w:hAnsi="Verdana"/>
        </w:rPr>
        <w:t>Conforme con lo anterior, la implementación del programa de alimentación en palabras de la Corte Constitucional, tiene efectos positivos para los hogares víctimas de desplazamiento, como (i) que se otorgara la asistencia alimentaria por término flexible que atienda las necesidades de los hogares; y en especial, que: ".....al ser una responsabilidad del ICBF contribuye a aliviar la presión presupuestal y administrativa que, como se expuso en esta providencia, se genera en la Unidad para la Atención y Reparación Integral a las Víctimas como consecuencia de la falta de articulación con los programas de estabilización económica.” Énfasis propio.</w:t>
      </w:r>
    </w:p>
    <w:p w14:paraId="0C8C3FE5" w14:textId="51B84311" w:rsidR="00D91557" w:rsidRPr="00D91557" w:rsidRDefault="00D91557" w:rsidP="00D91557">
      <w:pPr>
        <w:jc w:val="both"/>
        <w:rPr>
          <w:rFonts w:ascii="Verdana" w:hAnsi="Verdana"/>
        </w:rPr>
      </w:pPr>
      <w:r w:rsidRPr="00D91557">
        <w:rPr>
          <w:rFonts w:ascii="Verdana" w:hAnsi="Verdana"/>
        </w:rPr>
        <w:t xml:space="preserve">Así las cosas, restringir de alguna forma que los hogares </w:t>
      </w:r>
      <w:proofErr w:type="spellStart"/>
      <w:r w:rsidRPr="00D91557">
        <w:rPr>
          <w:rFonts w:ascii="Verdana" w:hAnsi="Verdana"/>
        </w:rPr>
        <w:t>victimas</w:t>
      </w:r>
      <w:proofErr w:type="spellEnd"/>
      <w:r w:rsidRPr="00D91557">
        <w:rPr>
          <w:rFonts w:ascii="Verdana" w:hAnsi="Verdana"/>
        </w:rPr>
        <w:t xml:space="preserve"> de desplazamiento forzado se acerquen a las Direcciones Regionales (33), a los Centros Zonales (208) y demás puntos de atención, reducirá la posibilidad de acceso a la oferta del programa de alimentación del ICBF, por lo cual, a </w:t>
      </w:r>
      <w:proofErr w:type="gramStart"/>
      <w:r w:rsidRPr="00D91557">
        <w:rPr>
          <w:rFonts w:ascii="Verdana" w:hAnsi="Verdana"/>
        </w:rPr>
        <w:t>continuación</w:t>
      </w:r>
      <w:proofErr w:type="gramEnd"/>
      <w:r w:rsidRPr="00D91557">
        <w:rPr>
          <w:rFonts w:ascii="Verdana" w:hAnsi="Verdana"/>
        </w:rPr>
        <w:t xml:space="preserve"> se analizará si jurídicamente es posible limitar el ejercicio del derecho fundamental de petición.</w:t>
      </w:r>
    </w:p>
    <w:p w14:paraId="5AAA25D8" w14:textId="24F1C45C" w:rsidR="00D91557" w:rsidRPr="00D91557" w:rsidRDefault="00D91557" w:rsidP="00D91557">
      <w:pPr>
        <w:jc w:val="both"/>
        <w:rPr>
          <w:rFonts w:ascii="Verdana" w:hAnsi="Verdana"/>
        </w:rPr>
      </w:pPr>
      <w:r w:rsidRPr="00D91557">
        <w:rPr>
          <w:rFonts w:ascii="Verdana" w:hAnsi="Verdana"/>
        </w:rPr>
        <w:t>4. Alcance del derecho de petición cuando es invocado por la población desplazada</w:t>
      </w:r>
    </w:p>
    <w:p w14:paraId="1BA96BC0" w14:textId="6A06C773" w:rsidR="00D91557" w:rsidRPr="00D91557" w:rsidRDefault="00D91557" w:rsidP="00D91557">
      <w:pPr>
        <w:jc w:val="both"/>
        <w:rPr>
          <w:rFonts w:ascii="Verdana" w:hAnsi="Verdana"/>
        </w:rPr>
      </w:pPr>
      <w:r w:rsidRPr="00D91557">
        <w:rPr>
          <w:rFonts w:ascii="Verdana" w:hAnsi="Verdana"/>
        </w:rPr>
        <w:t>El artículo 23 de la Constitución Política otorga el derecho a la persona de "presentar peticiones respetuosas a las autoridades por motivos de interés general o particular y a obtener pronta resolución".</w:t>
      </w:r>
    </w:p>
    <w:p w14:paraId="4276B6DD" w14:textId="32074CC6" w:rsidR="00D91557" w:rsidRPr="00D91557" w:rsidRDefault="00D91557" w:rsidP="00D91557">
      <w:pPr>
        <w:jc w:val="both"/>
        <w:rPr>
          <w:rFonts w:ascii="Verdana" w:hAnsi="Verdana"/>
        </w:rPr>
      </w:pPr>
      <w:r w:rsidRPr="00D91557">
        <w:rPr>
          <w:rFonts w:ascii="Verdana" w:hAnsi="Verdana"/>
        </w:rPr>
        <w:t>De acuerdo con esta definición la jurisprudencia constitucional en múltiples pronunciamientos ha señalado que puede decirse que "el núcleo esencial del derecho de petición reside en la obtención de una resolución pronta y oportuna de la cuestión, pues de nada serviría le posibilidad de dirigirse a la autoridad si ésta no resuelve o se reserva para sí el sentido de lo decidido”.</w:t>
      </w:r>
    </w:p>
    <w:p w14:paraId="69CEAAD0" w14:textId="3D3BD206" w:rsidR="00D91557" w:rsidRPr="00D91557" w:rsidRDefault="00D91557" w:rsidP="00D91557">
      <w:pPr>
        <w:jc w:val="both"/>
        <w:rPr>
          <w:rFonts w:ascii="Verdana" w:hAnsi="Verdana"/>
        </w:rPr>
      </w:pPr>
      <w:r w:rsidRPr="00D91557">
        <w:rPr>
          <w:rFonts w:ascii="Verdana" w:hAnsi="Verdana"/>
        </w:rPr>
        <w:t>Unido a lo anterior, es necesario resaltar que no con cualquier comunicación devuelta al peticionario puede considerarse satisfecho su derecho de petición, una verdadera respuesta, si bien no tiene que ser siempre favorable a las pretensiones del peticionario, sí debe cumplir con los requisitos de ser oportuna, resolver de fondo lo solicitado de manera clara, precisa y congruente, además de ser puesta en conocimiento del peticionario.</w:t>
      </w:r>
    </w:p>
    <w:p w14:paraId="04AB11E6" w14:textId="284810DE" w:rsidR="00D91557" w:rsidRPr="00D91557" w:rsidRDefault="00D91557" w:rsidP="00D91557">
      <w:pPr>
        <w:jc w:val="both"/>
        <w:rPr>
          <w:rFonts w:ascii="Verdana" w:hAnsi="Verdana"/>
        </w:rPr>
      </w:pPr>
      <w:r w:rsidRPr="00D91557">
        <w:rPr>
          <w:rFonts w:ascii="Verdana" w:hAnsi="Verdana"/>
        </w:rPr>
        <w:t xml:space="preserve">Igualmente, el derecho de </w:t>
      </w:r>
      <w:proofErr w:type="gramStart"/>
      <w:r w:rsidRPr="00D91557">
        <w:rPr>
          <w:rFonts w:ascii="Verdana" w:hAnsi="Verdana"/>
        </w:rPr>
        <w:t>petición,</w:t>
      </w:r>
      <w:proofErr w:type="gramEnd"/>
      <w:r w:rsidRPr="00D91557">
        <w:rPr>
          <w:rFonts w:ascii="Verdana" w:hAnsi="Verdana"/>
        </w:rPr>
        <w:t xml:space="preserve"> sirve de instrumento que posibilita el ejercicio de otros derechos fundamentales, </w:t>
      </w:r>
      <w:proofErr w:type="gramStart"/>
      <w:r w:rsidRPr="00D91557">
        <w:rPr>
          <w:rFonts w:ascii="Verdana" w:hAnsi="Verdana"/>
        </w:rPr>
        <w:t>como</w:t>
      </w:r>
      <w:proofErr w:type="gramEnd"/>
      <w:r w:rsidRPr="00D91557">
        <w:rPr>
          <w:rFonts w:ascii="Verdana" w:hAnsi="Verdana"/>
        </w:rPr>
        <w:t xml:space="preserve"> por ejemplo, en el caso de las </w:t>
      </w:r>
      <w:r w:rsidRPr="00D91557">
        <w:rPr>
          <w:rFonts w:ascii="Verdana" w:hAnsi="Verdana"/>
        </w:rPr>
        <w:lastRenderedPageBreak/>
        <w:t>personas en situación de desplazamiento, que a través de la petición buscan obtener alguna ayuda económica o subsidio a través de la cual se logre el mejoramiento de su situación de vulnerabilidad, por ello, la Corte Constitucional ha manifestado:</w:t>
      </w:r>
    </w:p>
    <w:p w14:paraId="1E6A93DC" w14:textId="6FBBEE56" w:rsidR="00D91557" w:rsidRPr="00D91557" w:rsidRDefault="00D91557" w:rsidP="00D91557">
      <w:pPr>
        <w:jc w:val="both"/>
        <w:rPr>
          <w:rFonts w:ascii="Verdana" w:hAnsi="Verdana"/>
        </w:rPr>
      </w:pPr>
      <w:r w:rsidRPr="00D91557">
        <w:rPr>
          <w:rFonts w:ascii="Verdana" w:hAnsi="Verdana"/>
        </w:rPr>
        <w:t>“(...) el funcionario público debe ser formado en una cultura que marque un énfasis en la necesidad de servir diligentemente a los ciudadanas y en especial a aquellos que se encuentren marginados por la pobreza, por la indefensión, por la ignorancia, por las necesidades de toda índole, tanto más cuanto como bien lo señala la sentencia de la Corte Constitucional T-307 de 1999 esas condiciones de pobreza y vulnerabilidad pueden llegar a producir una cierta 'invisibilidad' de esos grupos sociales. (...)</w:t>
      </w:r>
    </w:p>
    <w:p w14:paraId="0126CF43" w14:textId="16A504EB" w:rsidR="00D91557" w:rsidRPr="00D91557" w:rsidRDefault="00D91557" w:rsidP="00D91557">
      <w:pPr>
        <w:jc w:val="both"/>
        <w:rPr>
          <w:rFonts w:ascii="Verdana" w:hAnsi="Verdana"/>
        </w:rPr>
      </w:pPr>
      <w:r w:rsidRPr="00D91557">
        <w:rPr>
          <w:rFonts w:ascii="Verdana" w:hAnsi="Verdana"/>
        </w:rPr>
        <w:t>La Corte se ha pronunciado, además, a favor de una modalidad reforzada del derecho de petición que exige a los funcionarios y servidores públicos atender de modo especialmente cuidadoso las solicitudes de aquellas personas que, por sus condiciones críticas de pobreza y vulnerabilidad social, acuden al Estado en busca de que las necesidades más determinantes de su mínimo vital sean atendidas.”</w:t>
      </w:r>
    </w:p>
    <w:p w14:paraId="52AE4940" w14:textId="53BA6225" w:rsidR="00D91557" w:rsidRPr="00D91557" w:rsidRDefault="00D91557" w:rsidP="00D91557">
      <w:pPr>
        <w:jc w:val="both"/>
        <w:rPr>
          <w:rFonts w:ascii="Verdana" w:hAnsi="Verdana"/>
        </w:rPr>
      </w:pPr>
      <w:r w:rsidRPr="00D91557">
        <w:rPr>
          <w:rFonts w:ascii="Verdana" w:hAnsi="Verdana"/>
        </w:rPr>
        <w:t>Ahora bien, como lo establece el capítulo III de la Ley 1448 de 2011 el otorgamiento de la ayuda humanitaria tiene tres (3) etapas, como se indicó con anterioridad, y cada una de las fases tiene establecida la entrega de componentes distintos y competencias en distintas Entidades, por lo cual, a la hora de resolver de fondo, de manera congruente y con oportunidad los derechos de petición, debe observarse dicha normatividad, así mismo, es preciso considerar que la Corte Constitucional estableció la forma en que las Entidades deben satisfacer el derecho fundamental de petición a las víctimas de desplazamiento forzado.</w:t>
      </w:r>
    </w:p>
    <w:p w14:paraId="58B6141E" w14:textId="3053F6D1" w:rsidR="00D91557" w:rsidRPr="00D91557" w:rsidRDefault="00D91557" w:rsidP="00D91557">
      <w:pPr>
        <w:jc w:val="both"/>
        <w:rPr>
          <w:rFonts w:ascii="Verdana" w:hAnsi="Verdana"/>
        </w:rPr>
      </w:pPr>
      <w:r w:rsidRPr="00D91557">
        <w:rPr>
          <w:rFonts w:ascii="Verdana" w:hAnsi="Verdana"/>
        </w:rPr>
        <w:t>5. Procedimiento para resolver las peticiones de los Hogares Víctimas de Desplazamiento</w:t>
      </w:r>
    </w:p>
    <w:p w14:paraId="0268510A" w14:textId="20306D72" w:rsidR="00D91557" w:rsidRPr="00D91557" w:rsidRDefault="00D91557" w:rsidP="00D91557">
      <w:pPr>
        <w:jc w:val="both"/>
        <w:rPr>
          <w:rFonts w:ascii="Verdana" w:hAnsi="Verdana"/>
        </w:rPr>
      </w:pPr>
      <w:r w:rsidRPr="00D91557">
        <w:rPr>
          <w:rFonts w:ascii="Verdana" w:hAnsi="Verdana"/>
        </w:rPr>
        <w:t>Mediante Sentencia T-025 de 2004, la Corte Constitucional calificó la forma en que las instituciones encargadas de la provisión de ayudas y suministro de atención al desplazado deben contestar sus peticiones, indicando lo siguiente:</w:t>
      </w:r>
    </w:p>
    <w:p w14:paraId="60667085" w14:textId="7CE366C2" w:rsidR="00D91557" w:rsidRPr="00D91557" w:rsidRDefault="00D91557" w:rsidP="00D91557">
      <w:pPr>
        <w:jc w:val="both"/>
        <w:rPr>
          <w:rFonts w:ascii="Verdana" w:hAnsi="Verdana"/>
        </w:rPr>
      </w:pPr>
      <w:r w:rsidRPr="00D91557">
        <w:rPr>
          <w:rFonts w:ascii="Verdana" w:hAnsi="Verdana"/>
        </w:rPr>
        <w:t>“Así, cuando las distintas autoridades reciban una petición proveniente de un desplazado, en la cual solicite la protección de alguno de sus derechos, la autoridad competente procederá a:</w:t>
      </w:r>
    </w:p>
    <w:p w14:paraId="3575E072" w14:textId="3AEA1118" w:rsidR="00D91557" w:rsidRPr="00D91557" w:rsidRDefault="00D91557" w:rsidP="00D91557">
      <w:pPr>
        <w:jc w:val="both"/>
        <w:rPr>
          <w:rFonts w:ascii="Verdana" w:hAnsi="Verdana"/>
        </w:rPr>
      </w:pPr>
      <w:r w:rsidRPr="00D91557">
        <w:rPr>
          <w:rFonts w:ascii="Verdana" w:hAnsi="Verdana"/>
        </w:rPr>
        <w:t>1) Incorporarlo en la lista de desplazados peticionarios.</w:t>
      </w:r>
    </w:p>
    <w:p w14:paraId="03BCA08D" w14:textId="409E9FDC" w:rsidR="00D91557" w:rsidRPr="00D91557" w:rsidRDefault="00D91557" w:rsidP="00D91557">
      <w:pPr>
        <w:jc w:val="both"/>
        <w:rPr>
          <w:rFonts w:ascii="Verdana" w:hAnsi="Verdana"/>
        </w:rPr>
      </w:pPr>
      <w:r w:rsidRPr="00D91557">
        <w:rPr>
          <w:rFonts w:ascii="Verdana" w:hAnsi="Verdana"/>
        </w:rPr>
        <w:t>2) Informarle al desplazado dentro del término de 15 días el tiempo máximo dentro del cual le dará respuesta a la solicitud.</w:t>
      </w:r>
    </w:p>
    <w:p w14:paraId="0DDB406D" w14:textId="2067821B" w:rsidR="00D91557" w:rsidRPr="00D91557" w:rsidRDefault="00D91557" w:rsidP="00D91557">
      <w:pPr>
        <w:jc w:val="both"/>
        <w:rPr>
          <w:rFonts w:ascii="Verdana" w:hAnsi="Verdana"/>
        </w:rPr>
      </w:pPr>
      <w:r w:rsidRPr="00D91557">
        <w:rPr>
          <w:rFonts w:ascii="Verdana" w:hAnsi="Verdana"/>
        </w:rPr>
        <w:t>3) Informarle dentro del término de 15 días si la solicitud cumple con los requisitos para su trámite, y en caso contrario, indicarle claramente cómo puede corregirla para que pueda acceder a los programas de ayuda;</w:t>
      </w:r>
    </w:p>
    <w:p w14:paraId="4403A7D1" w14:textId="3DF70EB7" w:rsidR="00D91557" w:rsidRPr="00D91557" w:rsidRDefault="00D91557" w:rsidP="00D91557">
      <w:pPr>
        <w:jc w:val="both"/>
        <w:rPr>
          <w:rFonts w:ascii="Verdana" w:hAnsi="Verdana"/>
        </w:rPr>
      </w:pPr>
      <w:r w:rsidRPr="00D91557">
        <w:rPr>
          <w:rFonts w:ascii="Verdana" w:hAnsi="Verdana"/>
        </w:rPr>
        <w:lastRenderedPageBreak/>
        <w:t>4) Si la solicitud cumple con los requisitos, pero no existe la disponibilidad presupuestal, adelantará los trámites necesarios para obtener los recursos, determinará las prioridades y el orden en que las resolverá.</w:t>
      </w:r>
    </w:p>
    <w:p w14:paraId="38204D23" w14:textId="49FC5234" w:rsidR="00D91557" w:rsidRPr="00D91557" w:rsidRDefault="00D91557" w:rsidP="00D91557">
      <w:pPr>
        <w:jc w:val="both"/>
        <w:rPr>
          <w:rFonts w:ascii="Verdana" w:hAnsi="Verdana"/>
        </w:rPr>
      </w:pPr>
      <w:r w:rsidRPr="00D91557">
        <w:rPr>
          <w:rFonts w:ascii="Verdana" w:hAnsi="Verdana"/>
        </w:rPr>
        <w:t>5) Si la solicitud cumple con los requisitos y existe disponibilidad presupuestal suficiente, la informará cuando se hará efectivo el beneficio y el procedimiento se seguirá para lo &lt;sic&gt; reciba efectivamente.</w:t>
      </w:r>
    </w:p>
    <w:p w14:paraId="7E323DFA" w14:textId="6FEA78EB" w:rsidR="00D91557" w:rsidRPr="00D91557" w:rsidRDefault="00D91557" w:rsidP="00D91557">
      <w:pPr>
        <w:jc w:val="both"/>
        <w:rPr>
          <w:rFonts w:ascii="Verdana" w:hAnsi="Verdana"/>
        </w:rPr>
      </w:pPr>
      <w:r w:rsidRPr="00D91557">
        <w:rPr>
          <w:rFonts w:ascii="Verdana" w:hAnsi="Verdana"/>
        </w:rPr>
        <w:t>En todo caso, deberá abstenerse de exigir un fallo de tutela para cumplir sus deberes legales y respetar los derechos fundamentales de los desplazados. Este mismo procedimiento deberá realizarse en relación con las peticiones de los actores en el presente proceso de tutela, en particular para las solicitudes de otorgamiento de las ayudas previstas en los programas de vivienda y de restablecimiento socio económico]”.</w:t>
      </w:r>
    </w:p>
    <w:p w14:paraId="2A2E906D" w14:textId="112DBC05" w:rsidR="00D91557" w:rsidRPr="00D91557" w:rsidRDefault="00D91557" w:rsidP="00D91557">
      <w:pPr>
        <w:jc w:val="both"/>
        <w:rPr>
          <w:rFonts w:ascii="Verdana" w:hAnsi="Verdana"/>
        </w:rPr>
      </w:pPr>
      <w:r w:rsidRPr="00D91557">
        <w:rPr>
          <w:rFonts w:ascii="Verdana" w:hAnsi="Verdana"/>
        </w:rPr>
        <w:t>Por lo anterior, la Dirección de Servicios y Atención debe contar con la herramienta técnica que permita informar al peticionario si se cumplen o no las condiciones legales para recibir el derecho de petición,[36] así como para informar si la petición es competencia del ICBF o si la misma será remitida por competencia a la Unidad de Víctimas, lo anterior permitirá descongestionar los puntos de atención, así como, conllevará a que los peticionarios no se comuniquen permanentemente a las líneas de atención.</w:t>
      </w:r>
    </w:p>
    <w:p w14:paraId="3837A15F" w14:textId="2292CDFB" w:rsidR="00D91557" w:rsidRPr="00D91557" w:rsidRDefault="00D91557" w:rsidP="00D91557">
      <w:pPr>
        <w:jc w:val="both"/>
        <w:rPr>
          <w:rFonts w:ascii="Verdana" w:hAnsi="Verdana"/>
        </w:rPr>
      </w:pPr>
      <w:r w:rsidRPr="00D91557">
        <w:rPr>
          <w:rFonts w:ascii="Verdana" w:hAnsi="Verdana"/>
        </w:rPr>
        <w:t>6. Del Sistema de Información que contempla la ley 1448 de 2011 para la atención y reparación integral de las víctimas.</w:t>
      </w:r>
    </w:p>
    <w:p w14:paraId="49D48280" w14:textId="4C96D48A" w:rsidR="00D91557" w:rsidRPr="00D91557" w:rsidRDefault="00D91557" w:rsidP="00D91557">
      <w:pPr>
        <w:jc w:val="both"/>
        <w:rPr>
          <w:rFonts w:ascii="Verdana" w:hAnsi="Verdana"/>
        </w:rPr>
      </w:pPr>
      <w:r w:rsidRPr="00D91557">
        <w:rPr>
          <w:rFonts w:ascii="Verdana" w:hAnsi="Verdana"/>
        </w:rPr>
        <w:t>Debemos iniciar indicando que la ley 1448 de 2011 establece que uno de los derechos de las víctimas es recibir información sobre las rutas y los medios de acceso a las medidas que se reconocen para la atención, asistencia y reparación integral; razón por la cual señala que todas las entidades estatales deberán “promover mecanismos de publicidad eficaces, los cuales estarán dirigidos a las víctimas. A través de estos deberán brindar información y orientar a las víctimas acerca de los derechos, medidas y recursos con los que cuenta, al igual que sobre los medios y rutas judiciales y administrativas a través de las cuales podrán acceder para el ejercicio de sus derechos”.</w:t>
      </w:r>
    </w:p>
    <w:p w14:paraId="13811598" w14:textId="0F80E822" w:rsidR="00D91557" w:rsidRPr="00D91557" w:rsidRDefault="00D91557" w:rsidP="00D91557">
      <w:pPr>
        <w:jc w:val="both"/>
        <w:rPr>
          <w:rFonts w:ascii="Verdana" w:hAnsi="Verdana"/>
        </w:rPr>
      </w:pPr>
      <w:r w:rsidRPr="00D91557">
        <w:rPr>
          <w:rFonts w:ascii="Verdana" w:hAnsi="Verdana"/>
        </w:rPr>
        <w:t>En desarrollo de lo anterior, la ley de víctimas dispuso la creación de dos sistemas de información para la atención y reparación integral de las víctimas, el Registro Único de Víctimas (RUV)[39] y la Red Nacional de Información para la Atención y Reparación de las Víctimas (RNI), estos sistemas de acuerdo con el documento CONPES 3726 “por el cual se establece el Plan Nacional de Atención y Reparación Integral a las Víctimas (PNARIV)” son catalogados como ejes transversales de la política, teniendo en cuenta lo siguiente:</w:t>
      </w:r>
    </w:p>
    <w:p w14:paraId="06DE20DA" w14:textId="05FE1896" w:rsidR="00D91557" w:rsidRPr="00D91557" w:rsidRDefault="00D91557" w:rsidP="00D91557">
      <w:pPr>
        <w:jc w:val="both"/>
        <w:rPr>
          <w:rFonts w:ascii="Verdana" w:hAnsi="Verdana"/>
        </w:rPr>
      </w:pPr>
      <w:r w:rsidRPr="00D91557">
        <w:rPr>
          <w:rFonts w:ascii="Verdana" w:hAnsi="Verdana"/>
        </w:rPr>
        <w:t xml:space="preserve">“(….) el Registro Único de Víctimas (RUV) y la Red Nacional de Información (RNI) se consideran como elementos transversales de la política de atención, asistencia y reparación integral porque permiten que se implementen y se genere el engranaje requerido entre las entidades responsables para prestar las </w:t>
      </w:r>
      <w:r w:rsidRPr="00D91557">
        <w:rPr>
          <w:rFonts w:ascii="Verdana" w:hAnsi="Verdana"/>
        </w:rPr>
        <w:lastRenderedPageBreak/>
        <w:t>medidas contempladas en la Ley 1448 de 2011, bajo el entendido de que, el funcionamiento del RUV, es la puerta de entrada de las víctimas y la RNI es la plataforma que asegura la interoperabilidad entre todos los sistemas de información de las entidades (…)”.</w:t>
      </w:r>
    </w:p>
    <w:p w14:paraId="78D09BD3" w14:textId="0001E4EC" w:rsidR="00D91557" w:rsidRPr="00D91557" w:rsidRDefault="00D91557" w:rsidP="00D91557">
      <w:pPr>
        <w:jc w:val="both"/>
        <w:rPr>
          <w:rFonts w:ascii="Verdana" w:hAnsi="Verdana"/>
        </w:rPr>
      </w:pPr>
      <w:r w:rsidRPr="00D91557">
        <w:rPr>
          <w:rFonts w:ascii="Verdana" w:hAnsi="Verdana"/>
        </w:rPr>
        <w:t>Y termina recomendado que es necesario “hacer efectiva la interoperabilidad de los sistemas de información entre todas las entidades de gobierno, especialmente con la Unidad para las Víctimas, con el objetivo de lograr la articulación de los sistemas de información, generar protocolos de uso y divulgación de la información, fortalecer el Registro Único de Víctimas y la Red Nacional de Información”;[42] tarea que le corresponde asumir a la Unidad Administrativa Especial de Atención y Reparación Integral a las Víctimas – UARIV, en calidad de coordinadora del SNARIV, teniendo en cuenta que dentro de sus funciones están garantizar la implementación y administración del RUV y la operación de la RNI, incluyendo la interoperabilidad de los distintos sistemas de información para la atención y reparación a víctimas.</w:t>
      </w:r>
    </w:p>
    <w:p w14:paraId="1D6038B0" w14:textId="45DAD8AE" w:rsidR="00D91557" w:rsidRPr="00D91557" w:rsidRDefault="00D91557" w:rsidP="00D91557">
      <w:pPr>
        <w:jc w:val="both"/>
        <w:rPr>
          <w:rFonts w:ascii="Verdana" w:hAnsi="Verdana"/>
        </w:rPr>
      </w:pPr>
      <w:r w:rsidRPr="00D91557">
        <w:rPr>
          <w:rFonts w:ascii="Verdana" w:hAnsi="Verdana"/>
        </w:rPr>
        <w:t>Corresponde ahora entonces, introducimos en lo que el marco normativo establece respecto de cada uno de estos sistemas de información, así entonces, frente al Registro Único de Víctimas – RUV, tenemos que es una herramienta administrativa que soporta el procedimiento de registro de las víctimas, por lo que, tiene como único propósito el de servir de herramienta técnica para la identificación de la población que ha sufrido un daño en los términos del artículo 3 de la Ley 1448 de 2011 y de sus necesidades, y como instrumento para el diseño e implementación de políticas públicas que busquen materializar los derechos constitucionales de las víctimas.</w:t>
      </w:r>
    </w:p>
    <w:p w14:paraId="27F60851" w14:textId="05C08824" w:rsidR="00D91557" w:rsidRPr="00D91557" w:rsidRDefault="00D91557" w:rsidP="00D91557">
      <w:pPr>
        <w:jc w:val="both"/>
        <w:rPr>
          <w:rFonts w:ascii="Verdana" w:hAnsi="Verdana"/>
        </w:rPr>
      </w:pPr>
      <w:r w:rsidRPr="00D91557">
        <w:rPr>
          <w:rFonts w:ascii="Verdana" w:hAnsi="Verdana"/>
        </w:rPr>
        <w:t xml:space="preserve">En cuanto a la Red Nacional de Información para la Atención y Reparación de las Víctimas – RNI tenemos que es el instrumento que garantizará al SNARIV una rápida y eficaz información nacional y regional sobre las víctimas de que trata el artículo 3 de la ley 1448 de 2011, y permitirle identificar las medidas que deben tomarse para la atención y reparación integral de las víctimas inscritas en el Registro Único de </w:t>
      </w:r>
      <w:proofErr w:type="spellStart"/>
      <w:r w:rsidRPr="00D91557">
        <w:rPr>
          <w:rFonts w:ascii="Verdana" w:hAnsi="Verdana"/>
        </w:rPr>
        <w:t>Victimas</w:t>
      </w:r>
      <w:proofErr w:type="spellEnd"/>
      <w:r w:rsidRPr="00D91557">
        <w:rPr>
          <w:rFonts w:ascii="Verdana" w:hAnsi="Verdana"/>
        </w:rPr>
        <w:t>.</w:t>
      </w:r>
    </w:p>
    <w:p w14:paraId="249975B4" w14:textId="46337205" w:rsidR="00D91557" w:rsidRPr="00D91557" w:rsidRDefault="00D91557" w:rsidP="00D91557">
      <w:pPr>
        <w:jc w:val="both"/>
        <w:rPr>
          <w:rFonts w:ascii="Verdana" w:hAnsi="Verdana"/>
        </w:rPr>
      </w:pPr>
      <w:r w:rsidRPr="00D91557">
        <w:rPr>
          <w:rFonts w:ascii="Verdana" w:hAnsi="Verdana"/>
        </w:rPr>
        <w:t>Dentro de las finalidades que tendrá el RIN están:</w:t>
      </w:r>
    </w:p>
    <w:p w14:paraId="344A3248" w14:textId="3EA9F259" w:rsidR="00D91557" w:rsidRPr="00D91557" w:rsidRDefault="00D91557" w:rsidP="00D91557">
      <w:pPr>
        <w:jc w:val="both"/>
        <w:rPr>
          <w:rFonts w:ascii="Verdana" w:hAnsi="Verdana"/>
        </w:rPr>
      </w:pPr>
      <w:r w:rsidRPr="00D91557">
        <w:rPr>
          <w:rFonts w:ascii="Verdana" w:hAnsi="Verdana"/>
        </w:rPr>
        <w:t>Artículo 57. Finalidades. La Red Nacional de Información para el cumplimiento de sus fines deberá:</w:t>
      </w:r>
    </w:p>
    <w:p w14:paraId="140A70A5" w14:textId="18C31395" w:rsidR="00D91557" w:rsidRPr="00D91557" w:rsidRDefault="00D91557" w:rsidP="00D91557">
      <w:pPr>
        <w:jc w:val="both"/>
        <w:rPr>
          <w:rFonts w:ascii="Verdana" w:hAnsi="Verdana"/>
        </w:rPr>
      </w:pPr>
      <w:r w:rsidRPr="00D91557">
        <w:rPr>
          <w:rFonts w:ascii="Verdana" w:hAnsi="Verdana"/>
        </w:rPr>
        <w:t>1. Establecer lineamientos para la migración el intercambio de información e interoperabilidad de los sistemas de las instituciones que conforman el Sistema Nacional de Atención y Reparación Integral a las Víctimas.</w:t>
      </w:r>
    </w:p>
    <w:p w14:paraId="0885CF5F" w14:textId="0ED2E70A" w:rsidR="00D91557" w:rsidRPr="00D91557" w:rsidRDefault="00D91557" w:rsidP="00D91557">
      <w:pPr>
        <w:jc w:val="both"/>
        <w:rPr>
          <w:rFonts w:ascii="Verdana" w:hAnsi="Verdana"/>
        </w:rPr>
      </w:pPr>
      <w:r w:rsidRPr="00D91557">
        <w:rPr>
          <w:rFonts w:ascii="Verdana" w:hAnsi="Verdana"/>
        </w:rPr>
        <w:t>2. Brindar insumos para caracterizar y focalizar a las víctimas teniendo en cuenta sus características particulares.</w:t>
      </w:r>
    </w:p>
    <w:p w14:paraId="60B10610" w14:textId="4BF62F0B" w:rsidR="00D91557" w:rsidRPr="00D91557" w:rsidRDefault="00D91557" w:rsidP="00D91557">
      <w:pPr>
        <w:jc w:val="both"/>
        <w:rPr>
          <w:rFonts w:ascii="Verdana" w:hAnsi="Verdana"/>
        </w:rPr>
      </w:pPr>
      <w:r w:rsidRPr="00D91557">
        <w:rPr>
          <w:rFonts w:ascii="Verdana" w:hAnsi="Verdana"/>
        </w:rPr>
        <w:t xml:space="preserve">3. Brindar información a las entidades públicas del nivel gubernamental y estatal en el orden nacional y territorial del Sistema Nacional de Atención y Reparación </w:t>
      </w:r>
      <w:r w:rsidRPr="00D91557">
        <w:rPr>
          <w:rFonts w:ascii="Verdana" w:hAnsi="Verdana"/>
        </w:rPr>
        <w:lastRenderedPageBreak/>
        <w:t>Integral a las Víctimas para formular, implementar y evaluar las políticas, planes, programas y proyectos en materia de prevención, asistencia, atención, protección y reparación integral, de acuerdo con los principios establecidos en el presente decreto.</w:t>
      </w:r>
    </w:p>
    <w:p w14:paraId="4A052AE0" w14:textId="3E778C9E" w:rsidR="00D91557" w:rsidRPr="00D91557" w:rsidRDefault="00D91557" w:rsidP="00D91557">
      <w:pPr>
        <w:jc w:val="both"/>
        <w:rPr>
          <w:rFonts w:ascii="Verdana" w:hAnsi="Verdana"/>
        </w:rPr>
      </w:pPr>
      <w:r w:rsidRPr="00D91557">
        <w:rPr>
          <w:rFonts w:ascii="Verdana" w:hAnsi="Verdana"/>
        </w:rPr>
        <w:t>4. Apoyar el desarrollo técnico de los Sistemas de Información de las entidades del Sistema Nacional de Atención y Reparación Integral a las Víctimas para facilitar su participación en la Red definida en este Decreto, de acuerdo con los lineamientos establecidos en el Plan Operativo de Sistemas de Información.</w:t>
      </w:r>
    </w:p>
    <w:p w14:paraId="20B09901" w14:textId="2C305BE4" w:rsidR="00D91557" w:rsidRPr="00D91557" w:rsidRDefault="00D91557" w:rsidP="00D91557">
      <w:pPr>
        <w:jc w:val="both"/>
        <w:rPr>
          <w:rFonts w:ascii="Verdana" w:hAnsi="Verdana"/>
        </w:rPr>
      </w:pPr>
      <w:r w:rsidRPr="00D91557">
        <w:rPr>
          <w:rFonts w:ascii="Verdana" w:hAnsi="Verdana"/>
        </w:rPr>
        <w:t>5. Definir los mecanismos de coordinación entre las instituciones que conforman la Red.</w:t>
      </w:r>
    </w:p>
    <w:p w14:paraId="0E4E2A5E" w14:textId="5641F266" w:rsidR="00D91557" w:rsidRPr="00D91557" w:rsidRDefault="00D91557" w:rsidP="00D91557">
      <w:pPr>
        <w:jc w:val="both"/>
        <w:rPr>
          <w:rFonts w:ascii="Verdana" w:hAnsi="Verdana"/>
        </w:rPr>
      </w:pPr>
      <w:r w:rsidRPr="00D91557">
        <w:rPr>
          <w:rFonts w:ascii="Verdana" w:hAnsi="Verdana"/>
        </w:rPr>
        <w:t>Así las cosas, se concluye (i) que la UARIV tiene la responsabilidad de los dos sistemas de información para la atención y reparación integral de las víctimas, en el sentido de que se encarga de la implementación y administración del RUV y la operación de la RNI, (</w:t>
      </w:r>
      <w:proofErr w:type="spellStart"/>
      <w:r w:rsidRPr="00D91557">
        <w:rPr>
          <w:rFonts w:ascii="Verdana" w:hAnsi="Verdana"/>
        </w:rPr>
        <w:t>ii</w:t>
      </w:r>
      <w:proofErr w:type="spellEnd"/>
      <w:r w:rsidRPr="00D91557">
        <w:rPr>
          <w:rFonts w:ascii="Verdana" w:hAnsi="Verdana"/>
        </w:rPr>
        <w:t>) que el RUV es una herramienta de identificación de la población víctimas y (</w:t>
      </w:r>
      <w:proofErr w:type="spellStart"/>
      <w:r w:rsidRPr="00D91557">
        <w:rPr>
          <w:rFonts w:ascii="Verdana" w:hAnsi="Verdana"/>
        </w:rPr>
        <w:t>iii</w:t>
      </w:r>
      <w:proofErr w:type="spellEnd"/>
      <w:r w:rsidRPr="00D91557">
        <w:rPr>
          <w:rFonts w:ascii="Verdana" w:hAnsi="Verdana"/>
        </w:rPr>
        <w:t>) que en la RIN se recauda toda la información relacionada con las medidas de asistencia y reparación integral adoptadas para la atención de cada una de las víctimas registradas en el RUV, razón por la cual se constituye en el sistema de información más idóneo a consultar cuando, se trata de dar respuesta a peticiones relacionadas con la entrega de ayudas humanitarias, prórrogas, retornos, proyectos productivos, y demás medidas establecidas para la atención, asistencia y reparación integral de las víctimas.</w:t>
      </w:r>
    </w:p>
    <w:p w14:paraId="37ABC18B" w14:textId="3AFD1237" w:rsidR="00D91557" w:rsidRPr="00D91557" w:rsidRDefault="00D91557" w:rsidP="00D91557">
      <w:pPr>
        <w:jc w:val="both"/>
        <w:rPr>
          <w:rFonts w:ascii="Verdana" w:hAnsi="Verdana"/>
        </w:rPr>
      </w:pPr>
      <w:r w:rsidRPr="00D91557">
        <w:rPr>
          <w:rFonts w:ascii="Verdana" w:hAnsi="Verdana"/>
        </w:rPr>
        <w:t>No obstante lo anterior, es preciso recordar que todas las entidades pertenecientes al Sistema Nacional de Atención y Reparación Integral a la&lt;sic&gt; Víctimas - SNARIV (dentro de las cuales está el ICBF),[46] tienen como tarea “realizar los esfuerzos institucionales y apoyar la implementación de una plataforma de información que permita integrar, desarrollar y consolidar la información de las diferentes entidades que hacen parte del Sistema Nacional da Atención y Reparación integral a las Víctimas, con el fin de llevar a cabo el monitoreo, seguimiento y evaluación del cumplimiento de las responsabilidades atribuidas";[47] en consecuencia, cada una de estas entidades, en el marco de sus competencia, y en aplicación de los principios de corresponsabilidad[48] y concurrencia,[49] tienen la obligación de tener un sistema de información propio, garantizar el intercambio de la información que manejan y fortalecer y articular el tránsito de la misma para dar cumplimiento a las finalidades de la política pública de prevención, protección, atención y reparación integral que contempla la ley de víctimas; por lo que, se concluye, que todas las entidades estatales y privadas que manejen información relacionada con atención, asistencia y reparación integral deben estar en la capacidad de ofrecer información a !a población victimas frente a las materias de su competencia.</w:t>
      </w:r>
    </w:p>
    <w:p w14:paraId="76E66668" w14:textId="19B095AF" w:rsidR="00D91557" w:rsidRPr="00D91557" w:rsidRDefault="00D91557" w:rsidP="00D91557">
      <w:pPr>
        <w:jc w:val="both"/>
        <w:rPr>
          <w:rFonts w:ascii="Verdana" w:hAnsi="Verdana"/>
        </w:rPr>
      </w:pPr>
      <w:r w:rsidRPr="00D91557">
        <w:rPr>
          <w:rFonts w:ascii="Verdana" w:hAnsi="Verdana"/>
        </w:rPr>
        <w:t>7. Razones que Generan dificultades a la Dirección de Servicios y Atención</w:t>
      </w:r>
    </w:p>
    <w:p w14:paraId="3D29976F" w14:textId="266B1BEA" w:rsidR="00D91557" w:rsidRPr="00D91557" w:rsidRDefault="00D91557" w:rsidP="00D91557">
      <w:pPr>
        <w:jc w:val="both"/>
        <w:rPr>
          <w:rFonts w:ascii="Verdana" w:hAnsi="Verdana"/>
        </w:rPr>
      </w:pPr>
      <w:r w:rsidRPr="00D91557">
        <w:rPr>
          <w:rFonts w:ascii="Verdana" w:hAnsi="Verdana"/>
        </w:rPr>
        <w:lastRenderedPageBreak/>
        <w:t>Como lo indica la solicitud de concepto, el alto volumen de solicitudes y la carencia de herramientas técnicas conllevan a la congestión de las líneas de atención, así como a filas en los puntos, no obstante, negarse a la recepción de los derechos de petición no es una medida que genere mayor satisfacción en la atención de los hogares víctimas de desplazamiento forzado y en especial, que genere facilidad de acceso a los beneficios que le otorga la Ley, por la cual, es necesario analizar las razones que generan que los peticionarios acudan en repetidas oportunidades al ICBF.</w:t>
      </w:r>
    </w:p>
    <w:p w14:paraId="390BAFA7" w14:textId="15159063" w:rsidR="00D91557" w:rsidRPr="00D91557" w:rsidRDefault="00D91557" w:rsidP="00D91557">
      <w:pPr>
        <w:jc w:val="both"/>
        <w:rPr>
          <w:rFonts w:ascii="Verdana" w:hAnsi="Verdana"/>
        </w:rPr>
      </w:pPr>
      <w:r w:rsidRPr="00D91557">
        <w:rPr>
          <w:rFonts w:ascii="Verdana" w:hAnsi="Verdana"/>
        </w:rPr>
        <w:t>Cuando un peticionario acude a la Unidad de Victimas, dicha Entidad realza la valoración, caracterización o análisis de vulnerabilidad, y si determina que el hogar no presenta características de gravedad y urgencia que lo hagan merecedor de la ayuda de emergencia, remite al ICBF a través de medios electrónicos.</w:t>
      </w:r>
    </w:p>
    <w:p w14:paraId="132E8C24" w14:textId="7750DE62" w:rsidR="00D91557" w:rsidRPr="00D91557" w:rsidRDefault="00D91557" w:rsidP="00D91557">
      <w:pPr>
        <w:jc w:val="both"/>
        <w:rPr>
          <w:rFonts w:ascii="Verdana" w:hAnsi="Verdana"/>
        </w:rPr>
      </w:pPr>
      <w:r w:rsidRPr="00D91557">
        <w:rPr>
          <w:rFonts w:ascii="Verdana" w:hAnsi="Verdana"/>
        </w:rPr>
        <w:t>Una vez remitida la información a la Subdirección de Restablecimiento de Derechos del ICBF, los colaboradores del programa de alimentación en la transición, proceden a verificar los criterios legales y una vez realizado lo anterior, viabiliza la entrega del componente de alimentación.</w:t>
      </w:r>
    </w:p>
    <w:p w14:paraId="044BD94F" w14:textId="74704D2F" w:rsidR="00D91557" w:rsidRPr="00D91557" w:rsidRDefault="00D91557" w:rsidP="00D91557">
      <w:pPr>
        <w:jc w:val="both"/>
        <w:rPr>
          <w:rFonts w:ascii="Verdana" w:hAnsi="Verdana"/>
        </w:rPr>
      </w:pPr>
      <w:r w:rsidRPr="00D91557">
        <w:rPr>
          <w:rFonts w:ascii="Verdana" w:hAnsi="Verdana"/>
        </w:rPr>
        <w:t>Entre la fecha de presentación de la solicitud (verbal o escrita) la única información que recibe el peticionario de la Unidad de Víctimas, es que el componente de asistencia alimentaria es responsabilidad del ICBF, así las cosas, el peticionario se ve abocado a acudir a los puntos de atención del ICBF o la línea gratuita para conocer el estado de su trámite.</w:t>
      </w:r>
    </w:p>
    <w:p w14:paraId="5DF40ABE" w14:textId="134E0062" w:rsidR="00D91557" w:rsidRPr="00D91557" w:rsidRDefault="00D91557" w:rsidP="00D91557">
      <w:pPr>
        <w:jc w:val="both"/>
        <w:rPr>
          <w:rFonts w:ascii="Verdana" w:hAnsi="Verdana"/>
        </w:rPr>
      </w:pPr>
      <w:r w:rsidRPr="00D91557">
        <w:rPr>
          <w:rFonts w:ascii="Verdana" w:hAnsi="Verdana"/>
        </w:rPr>
        <w:t>Igualmente sucede, cuando las peticiones o solicitudes se realizan ante el ICBF, con la diferencia que una vez recibida la solicitud; a través de medios magnéticos se solicita la caracterización reciente del hogar, y de verificar que se encuentra o sigue estando en la etapa de transición, se realiza el mismo trámite señalado con anterioridad.</w:t>
      </w:r>
    </w:p>
    <w:p w14:paraId="02070C34" w14:textId="32717044" w:rsidR="00D91557" w:rsidRPr="00D91557" w:rsidRDefault="00D91557" w:rsidP="00D91557">
      <w:pPr>
        <w:jc w:val="both"/>
        <w:rPr>
          <w:rFonts w:ascii="Verdana" w:hAnsi="Verdana"/>
        </w:rPr>
      </w:pPr>
      <w:r w:rsidRPr="00D91557">
        <w:rPr>
          <w:rFonts w:ascii="Verdana" w:hAnsi="Verdana"/>
        </w:rPr>
        <w:t>En ambos eventos, la Subdirección de Restablecimiento de Derechos establece un turno de atención y coloca los recursos para que el peticionario los reciba a través del Banco Agrario en un lapso que varía entre uno (1) y dos (2) meses.</w:t>
      </w:r>
    </w:p>
    <w:p w14:paraId="390A37D4" w14:textId="06FD5E0F" w:rsidR="00D91557" w:rsidRPr="00D91557" w:rsidRDefault="00D91557" w:rsidP="00D91557">
      <w:pPr>
        <w:jc w:val="both"/>
        <w:rPr>
          <w:rFonts w:ascii="Verdana" w:hAnsi="Verdana"/>
        </w:rPr>
      </w:pPr>
      <w:r w:rsidRPr="00D91557">
        <w:rPr>
          <w:rFonts w:ascii="Verdana" w:hAnsi="Verdana"/>
        </w:rPr>
        <w:t>Cuando la solicitud de ayuda es presentada ante la Unidad de Víctimas (escrito), ni la mencionada Entidad, ni el ICBF comunican por escrito el turno o la colocación de ayudas a la dirección aportada por el peticionario, contrario sucede cuando el peticionario presenta solicitud ante el ICBF, pues en dicho evento el ICBF remite comunicación escrita informando el turno.</w:t>
      </w:r>
    </w:p>
    <w:p w14:paraId="73A5B8B0" w14:textId="410E1062" w:rsidR="00D91557" w:rsidRPr="00D91557" w:rsidRDefault="00D91557" w:rsidP="00D91557">
      <w:pPr>
        <w:jc w:val="both"/>
        <w:rPr>
          <w:rFonts w:ascii="Verdana" w:hAnsi="Verdana"/>
        </w:rPr>
      </w:pPr>
      <w:r w:rsidRPr="00D91557">
        <w:rPr>
          <w:rFonts w:ascii="Verdana" w:hAnsi="Verdana"/>
        </w:rPr>
        <w:t>En conclusión, el peticionario solo tiene conocimiento de la fecha cierta de colocación de recursos, en el momento mismo en que la Subdirección de Restablecimiento de Derechos realiza el trámite administrativo ante el Banco Agrario, es decir, entre uno (1) y dos (2) meses después de presentada la solicitud y para conocer dicha información se ve en la necesidad de acudir a los puntos o línea de atención.</w:t>
      </w:r>
    </w:p>
    <w:p w14:paraId="3E4DB222" w14:textId="53975C83" w:rsidR="00D91557" w:rsidRPr="00D91557" w:rsidRDefault="00D91557" w:rsidP="00D91557">
      <w:pPr>
        <w:jc w:val="both"/>
        <w:rPr>
          <w:rFonts w:ascii="Verdana" w:hAnsi="Verdana"/>
        </w:rPr>
      </w:pPr>
      <w:r w:rsidRPr="00D91557">
        <w:rPr>
          <w:rFonts w:ascii="Verdana" w:hAnsi="Verdana"/>
        </w:rPr>
        <w:lastRenderedPageBreak/>
        <w:t>Finalmente, ha conocido la Oficina Asesora Jurídica que el 40% de las solicitudes de ayuda humanitaria, ya sean remitidas por la Unidad de Victimas o por los canales del ICBF son negadas, las causales de negativa han sido definidas por la Subdirección de Restablecimiento de Derechos, así: (i) falta de competencia, (</w:t>
      </w:r>
      <w:proofErr w:type="spellStart"/>
      <w:r w:rsidRPr="00D91557">
        <w:rPr>
          <w:rFonts w:ascii="Verdana" w:hAnsi="Verdana"/>
        </w:rPr>
        <w:t>ii</w:t>
      </w:r>
      <w:proofErr w:type="spellEnd"/>
      <w:r w:rsidRPr="00D91557">
        <w:rPr>
          <w:rFonts w:ascii="Verdana" w:hAnsi="Verdana"/>
        </w:rPr>
        <w:t>) desplazamiento superior a diez años; (</w:t>
      </w:r>
      <w:proofErr w:type="spellStart"/>
      <w:r w:rsidRPr="00D91557">
        <w:rPr>
          <w:rFonts w:ascii="Verdana" w:hAnsi="Verdana"/>
        </w:rPr>
        <w:t>iii</w:t>
      </w:r>
      <w:proofErr w:type="spellEnd"/>
      <w:r w:rsidRPr="00D91557">
        <w:rPr>
          <w:rFonts w:ascii="Verdana" w:hAnsi="Verdana"/>
        </w:rPr>
        <w:t>) giro en los últimos noventa días; (</w:t>
      </w:r>
      <w:proofErr w:type="spellStart"/>
      <w:r w:rsidRPr="00D91557">
        <w:rPr>
          <w:rFonts w:ascii="Verdana" w:hAnsi="Verdana"/>
        </w:rPr>
        <w:t>iv</w:t>
      </w:r>
      <w:proofErr w:type="spellEnd"/>
      <w:r w:rsidRPr="00D91557">
        <w:rPr>
          <w:rFonts w:ascii="Verdana" w:hAnsi="Verdana"/>
        </w:rPr>
        <w:t>) giro disponible; y (v) giro en turno.</w:t>
      </w:r>
    </w:p>
    <w:p w14:paraId="30267304" w14:textId="70C4F06B" w:rsidR="00D91557" w:rsidRPr="00D91557" w:rsidRDefault="00D91557" w:rsidP="00D91557">
      <w:pPr>
        <w:jc w:val="both"/>
        <w:rPr>
          <w:rFonts w:ascii="Verdana" w:hAnsi="Verdana"/>
        </w:rPr>
      </w:pPr>
      <w:r w:rsidRPr="00D91557">
        <w:rPr>
          <w:rFonts w:ascii="Verdana" w:hAnsi="Verdana"/>
        </w:rPr>
        <w:t>8. Intercambio de información entre el ICBF y la Unidad de Víctimas</w:t>
      </w:r>
    </w:p>
    <w:p w14:paraId="6BD68468" w14:textId="4E48291D" w:rsidR="00D91557" w:rsidRPr="00D91557" w:rsidRDefault="00D91557" w:rsidP="00D91557">
      <w:pPr>
        <w:jc w:val="both"/>
        <w:rPr>
          <w:rFonts w:ascii="Verdana" w:hAnsi="Verdana"/>
        </w:rPr>
      </w:pPr>
      <w:r w:rsidRPr="00D91557">
        <w:rPr>
          <w:rFonts w:ascii="Verdana" w:hAnsi="Verdana"/>
        </w:rPr>
        <w:t>El ICBF y la Unidad de Víctimas suscribieron el Convenio Interadministrativo No. 1447 de 2013, cuyo objeto es: “Aunar esfuerzos de cooperación y articulación, en el marco del principio de responsabilidad y colaboración armónica, con el fin de contribuir al goce efectivo de los derechos a la verdad, la justicia y la reparación, de las víctimas del conflicto armado, atendiendo el principio de enfoque diferencial desde la función misional de cada entidad, en el marco de las medidas de atención asistencia y reparación integral. Y dentro de las actividades convenidas por el ICBF en virtud del mencionado convenio se destacan: "informar a la UNIDAD, a través de la Red Nacional de Información – RNI, sobre la atención, reparación y restitución brindada a la población víctima de la violencia por parte del ICBF de forma periódica que se deberá convenir con la UNIDAD”.</w:t>
      </w:r>
    </w:p>
    <w:p w14:paraId="38F081BE" w14:textId="415E1B45" w:rsidR="00D91557" w:rsidRPr="00D91557" w:rsidRDefault="00D91557" w:rsidP="00D91557">
      <w:pPr>
        <w:jc w:val="both"/>
        <w:rPr>
          <w:rFonts w:ascii="Verdana" w:hAnsi="Verdana"/>
        </w:rPr>
      </w:pPr>
      <w:r w:rsidRPr="00D91557">
        <w:rPr>
          <w:rFonts w:ascii="Verdana" w:hAnsi="Verdana"/>
        </w:rPr>
        <w:t>El citado artículo 114 del Decreto 4800 de 2011, dispone: “La Unidad Administrativa Especial para la Atención y Reparación de las Víctimas es responsable de la recepción, caracterización y remisión de las solicitudes realizadas por la población al Instituto Colombiano de Bienestar Familiar, así como de brindar acompañamiento técnico al Instituto en el desarrollo y seguimiento del programa”. Énfasis propios.</w:t>
      </w:r>
    </w:p>
    <w:p w14:paraId="1B69C5C0" w14:textId="524908D2" w:rsidR="00D91557" w:rsidRPr="00D91557" w:rsidRDefault="00D91557" w:rsidP="00D91557">
      <w:pPr>
        <w:jc w:val="both"/>
        <w:rPr>
          <w:rFonts w:ascii="Verdana" w:hAnsi="Verdana"/>
        </w:rPr>
      </w:pPr>
      <w:r w:rsidRPr="00D91557">
        <w:rPr>
          <w:rFonts w:ascii="Verdana" w:hAnsi="Verdana"/>
        </w:rPr>
        <w:t>Consecuente con lo anterior, el ICBF y la Unidad da Victimas cuentan con el marco normativo y el convenio interadministrativo que permita a ambas Entidades cumplir con los criterios jurisprudenciales y resolver, de fondo, congruente con lo solicitado, en forma oportuna y poniendo en conocimiento de los peticionarios las solicitudes de ayuda humanitaria, por lo cual, la Oficina Asesora Jurídica concluye:</w:t>
      </w:r>
    </w:p>
    <w:p w14:paraId="37F26C3E" w14:textId="56E44990" w:rsidR="00D91557" w:rsidRPr="00CA5EE3" w:rsidRDefault="00D91557" w:rsidP="00D91557">
      <w:pPr>
        <w:jc w:val="both"/>
        <w:rPr>
          <w:rFonts w:ascii="Verdana" w:hAnsi="Verdana"/>
          <w:b/>
          <w:bCs/>
        </w:rPr>
      </w:pPr>
      <w:r w:rsidRPr="00CA5EE3">
        <w:rPr>
          <w:rFonts w:ascii="Verdana" w:hAnsi="Verdana"/>
          <w:b/>
          <w:bCs/>
        </w:rPr>
        <w:t>CONCLUSIÓN</w:t>
      </w:r>
    </w:p>
    <w:p w14:paraId="37D292F9" w14:textId="0EE6FB06" w:rsidR="00D91557" w:rsidRPr="00D91557" w:rsidRDefault="00D91557" w:rsidP="00D91557">
      <w:pPr>
        <w:jc w:val="both"/>
        <w:rPr>
          <w:rFonts w:ascii="Verdana" w:hAnsi="Verdana"/>
        </w:rPr>
      </w:pPr>
      <w:r w:rsidRPr="00D91557">
        <w:rPr>
          <w:rFonts w:ascii="Verdana" w:hAnsi="Verdana"/>
        </w:rPr>
        <w:t>1. Conforme al marco normativo y jurisprudencial expuesto, se concluye que NO es viable jurídicamente que el ICBF se niegue a recibir los derechos de petición de los hogares víctimas de desplazamiento.</w:t>
      </w:r>
    </w:p>
    <w:p w14:paraId="266CDC21" w14:textId="4E38C343" w:rsidR="00D91557" w:rsidRPr="00D91557" w:rsidRDefault="00D91557" w:rsidP="00D91557">
      <w:pPr>
        <w:jc w:val="both"/>
        <w:rPr>
          <w:rFonts w:ascii="Verdana" w:hAnsi="Verdana"/>
        </w:rPr>
      </w:pPr>
      <w:r w:rsidRPr="00D91557">
        <w:rPr>
          <w:rFonts w:ascii="Verdana" w:hAnsi="Verdana"/>
        </w:rPr>
        <w:t>2. Todas las solicitudes de otorgamiento de ayuda humanitaria deben ser remitidas a la Unidad de Víctimas, con el fin de que se realice la caracterización, verificación de condiciones de vulnerabilidad o valoración.</w:t>
      </w:r>
    </w:p>
    <w:p w14:paraId="3EEFBCA0" w14:textId="72A7B003" w:rsidR="00D91557" w:rsidRPr="00D91557" w:rsidRDefault="00D91557" w:rsidP="00D91557">
      <w:pPr>
        <w:jc w:val="both"/>
        <w:rPr>
          <w:rFonts w:ascii="Verdana" w:hAnsi="Verdana"/>
        </w:rPr>
      </w:pPr>
      <w:r w:rsidRPr="00D91557">
        <w:rPr>
          <w:rFonts w:ascii="Verdana" w:hAnsi="Verdana"/>
        </w:rPr>
        <w:t xml:space="preserve">3. Debe valorarse la posibilidad de reglamentar la ruta para la recepción, respuesta, comunicación de los derechos de petición interpuestos por los </w:t>
      </w:r>
      <w:r w:rsidRPr="00D91557">
        <w:rPr>
          <w:rFonts w:ascii="Verdana" w:hAnsi="Verdana"/>
        </w:rPr>
        <w:lastRenderedPageBreak/>
        <w:t>hogares víctimas de desplazamiento, estableciendo de manera clara y precisa las peticiones que no cumplen los criterios legales y estableciendo la posibilidad de emitir respuesta automática a dichas solicitudes.</w:t>
      </w:r>
    </w:p>
    <w:p w14:paraId="18EB6F6D" w14:textId="261858A7" w:rsidR="00D91557" w:rsidRPr="00D91557" w:rsidRDefault="00D91557" w:rsidP="00D91557">
      <w:pPr>
        <w:jc w:val="both"/>
        <w:rPr>
          <w:rFonts w:ascii="Verdana" w:hAnsi="Verdana"/>
        </w:rPr>
      </w:pPr>
      <w:r w:rsidRPr="00D91557">
        <w:rPr>
          <w:rFonts w:ascii="Verdana" w:hAnsi="Verdana"/>
        </w:rPr>
        <w:t>4. Una vez recibida la información de la caracterización, verificación de condiciones de vulnerabilidad o valoración por parte de la UARIV, debe propender el ICBF por poner en conocimiento del peticionario la fecha a partir de la cual se hará entrega de la ayuda, la cual debe darse dentro de un periodo de tiempo oportuno y razonable.</w:t>
      </w:r>
    </w:p>
    <w:p w14:paraId="77600F54" w14:textId="0F0DD85C" w:rsidR="00D91557" w:rsidRPr="00D91557" w:rsidRDefault="00D91557" w:rsidP="00D91557">
      <w:pPr>
        <w:jc w:val="both"/>
        <w:rPr>
          <w:rFonts w:ascii="Verdana" w:hAnsi="Verdana"/>
        </w:rPr>
      </w:pPr>
      <w:r w:rsidRPr="00D91557">
        <w:rPr>
          <w:rFonts w:ascii="Verdana" w:hAnsi="Verdana"/>
        </w:rPr>
        <w:t>5. La Dirección de Protección y el Supervisor del Convenio interadministrativo No. 1447 de 2013, deberán suscribir los acuerdos necesarios para que los sujetos de derechos del componente de alimentación, conozcan (i) el estado de su solicitud y (</w:t>
      </w:r>
      <w:proofErr w:type="spellStart"/>
      <w:r w:rsidRPr="00D91557">
        <w:rPr>
          <w:rFonts w:ascii="Verdana" w:hAnsi="Verdana"/>
        </w:rPr>
        <w:t>ii</w:t>
      </w:r>
      <w:proofErr w:type="spellEnd"/>
      <w:r w:rsidRPr="00D91557">
        <w:rPr>
          <w:rFonts w:ascii="Verdana" w:hAnsi="Verdana"/>
        </w:rPr>
        <w:t>) la fecha a partir de la cual se hará entrega de la ayuda.</w:t>
      </w:r>
    </w:p>
    <w:p w14:paraId="160E6B67" w14:textId="21320529" w:rsidR="00D91557" w:rsidRPr="00D91557" w:rsidRDefault="00D91557" w:rsidP="00D91557">
      <w:pPr>
        <w:jc w:val="both"/>
        <w:rPr>
          <w:rFonts w:ascii="Verdana" w:hAnsi="Verdana"/>
        </w:rPr>
      </w:pPr>
      <w:r w:rsidRPr="00D91557">
        <w:rPr>
          <w:rFonts w:ascii="Verdana" w:hAnsi="Verdana"/>
        </w:rPr>
        <w:t>6.  La Dirección de Planeación como Supervisor del Convenio Interadministrativo No. 1447 de 2013, deberán garantizar que los colaboradores de la Dirección de Servicios y Atención tengan acceso a la herramienta VIVANTO, con el fin de garantizar respuesta inmediata a las peticiones que no cumplan con las condiciones legales para acceder al componente de alimentación.</w:t>
      </w:r>
    </w:p>
    <w:p w14:paraId="70A4333E" w14:textId="16FCB12A" w:rsidR="00D91557" w:rsidRPr="00D91557" w:rsidRDefault="00D91557" w:rsidP="00D91557">
      <w:pPr>
        <w:jc w:val="both"/>
        <w:rPr>
          <w:rFonts w:ascii="Verdana" w:hAnsi="Verdana"/>
        </w:rPr>
      </w:pPr>
      <w:r w:rsidRPr="00D91557">
        <w:rPr>
          <w:rFonts w:ascii="Verdana" w:hAnsi="Verdana"/>
        </w:rPr>
        <w:t>7. La Dirección de Protección y el Supervisor del Convenio Interadministrativo No. 1447 de 2013, deberán realizar las gestiones administrativas necesarias para permitir el acceso a la herramienta VIVANTO, a los colaboradores del Programa de Alimentación, así como a los colaboradores de la Oficina Asesora Jurídica que ejercen actividades de defensa en sede de tutela.</w:t>
      </w:r>
    </w:p>
    <w:p w14:paraId="7866432D" w14:textId="772565BB" w:rsidR="00D91557" w:rsidRDefault="00D91557" w:rsidP="00D91557">
      <w:pPr>
        <w:jc w:val="both"/>
        <w:rPr>
          <w:rFonts w:ascii="Verdana" w:hAnsi="Verdana"/>
        </w:rPr>
      </w:pPr>
      <w:r w:rsidRPr="00D91557">
        <w:rPr>
          <w:rFonts w:ascii="Verdana" w:hAnsi="Verdana"/>
        </w:rPr>
        <w:t>Cordialmente,</w:t>
      </w:r>
    </w:p>
    <w:p w14:paraId="7400B282" w14:textId="77777777" w:rsidR="00F6447E" w:rsidRPr="00D91557" w:rsidRDefault="00F6447E" w:rsidP="00F6447E">
      <w:pPr>
        <w:rPr>
          <w:rFonts w:ascii="Verdana" w:hAnsi="Verdana"/>
        </w:rPr>
      </w:pPr>
    </w:p>
    <w:p w14:paraId="6063E0A9" w14:textId="58788CAE" w:rsidR="00D91557" w:rsidRPr="00CA5EE3" w:rsidRDefault="00CA5EE3" w:rsidP="00F6447E">
      <w:pPr>
        <w:rPr>
          <w:rFonts w:ascii="Verdana" w:hAnsi="Verdana"/>
          <w:b/>
          <w:bCs/>
        </w:rPr>
      </w:pPr>
      <w:r w:rsidRPr="00CA5EE3">
        <w:rPr>
          <w:rFonts w:ascii="Verdana" w:hAnsi="Verdana"/>
          <w:b/>
          <w:bCs/>
        </w:rPr>
        <w:t>LUISA MARINA BALLESTEROS ARISTIZÁBAL</w:t>
      </w:r>
    </w:p>
    <w:p w14:paraId="2FCB8D2F" w14:textId="2B5CB2A2" w:rsidR="00D91557" w:rsidRPr="00CA5EE3" w:rsidRDefault="00CA5EE3" w:rsidP="00F6447E">
      <w:pPr>
        <w:rPr>
          <w:rFonts w:ascii="Verdana" w:hAnsi="Verdana"/>
        </w:rPr>
      </w:pPr>
      <w:r w:rsidRPr="00CA5EE3">
        <w:rPr>
          <w:rFonts w:ascii="Verdana" w:hAnsi="Verdana"/>
        </w:rPr>
        <w:t>JEFE OFICINA ASESORA JURÍDICA</w:t>
      </w:r>
    </w:p>
    <w:p w14:paraId="62E8B4DE" w14:textId="77777777" w:rsidR="00F6447E" w:rsidRDefault="00F6447E" w:rsidP="00D91557">
      <w:pPr>
        <w:jc w:val="both"/>
        <w:rPr>
          <w:rFonts w:ascii="Verdana" w:hAnsi="Verdana"/>
        </w:rPr>
      </w:pPr>
    </w:p>
    <w:p w14:paraId="16D67119" w14:textId="04658A20" w:rsidR="00F6447E" w:rsidRPr="00F6447E" w:rsidRDefault="00F6447E" w:rsidP="00D91557">
      <w:pPr>
        <w:jc w:val="both"/>
        <w:rPr>
          <w:rFonts w:ascii="Verdana" w:hAnsi="Verdana"/>
          <w:b/>
          <w:bCs/>
        </w:rPr>
      </w:pPr>
      <w:r w:rsidRPr="00F6447E">
        <w:rPr>
          <w:rFonts w:ascii="Verdana" w:hAnsi="Verdana"/>
          <w:b/>
          <w:bCs/>
        </w:rPr>
        <w:t>Notas</w:t>
      </w:r>
      <w:r>
        <w:rPr>
          <w:rFonts w:ascii="Verdana" w:hAnsi="Verdana"/>
          <w:b/>
          <w:bCs/>
        </w:rPr>
        <w:t xml:space="preserve"> de</w:t>
      </w:r>
      <w:r w:rsidRPr="00F6447E">
        <w:rPr>
          <w:rFonts w:ascii="Verdana" w:hAnsi="Verdana"/>
          <w:b/>
          <w:bCs/>
        </w:rPr>
        <w:t xml:space="preserve"> pie de página:</w:t>
      </w:r>
    </w:p>
    <w:p w14:paraId="7B4049A2" w14:textId="77777777" w:rsidR="00F6447E" w:rsidRDefault="00F6447E" w:rsidP="00D91557">
      <w:pPr>
        <w:jc w:val="both"/>
        <w:rPr>
          <w:rFonts w:ascii="Verdana" w:hAnsi="Verdana"/>
        </w:rPr>
      </w:pPr>
    </w:p>
    <w:p w14:paraId="230A3B04" w14:textId="146F8F3A" w:rsidR="00D91557" w:rsidRPr="00D91557" w:rsidRDefault="00D91557" w:rsidP="00D91557">
      <w:pPr>
        <w:jc w:val="both"/>
        <w:rPr>
          <w:rFonts w:ascii="Verdana" w:hAnsi="Verdana"/>
        </w:rPr>
      </w:pPr>
      <w:r w:rsidRPr="00D91557">
        <w:rPr>
          <w:rFonts w:ascii="Verdana" w:hAnsi="Verdana"/>
        </w:rPr>
        <w:t>1. ARTÍCULO 1º. OBJETO. La presente ley tiene por objeto establecer un conjunto de medidas judiciales, administrativas, sociales y económicas, individuales y colectivas en beneficio de las víctimas de las violaciones contempladas en el artículo 1 de la presente ley, dentro de un marco de justicia transicional, que posibilita hacer efectivo el goce de sus derechos a la verdad, la justicia y la reparación con garantía de no repetición, de modo que se reconozca su condición de víctimas y se dignifique a través de la materialización de sus derechos constitucionales.</w:t>
      </w:r>
    </w:p>
    <w:p w14:paraId="00291103" w14:textId="440E748A" w:rsidR="00D91557" w:rsidRPr="00D91557" w:rsidRDefault="00D91557" w:rsidP="00D91557">
      <w:pPr>
        <w:jc w:val="both"/>
        <w:rPr>
          <w:rFonts w:ascii="Verdana" w:hAnsi="Verdana"/>
        </w:rPr>
      </w:pPr>
      <w:r w:rsidRPr="00D91557">
        <w:rPr>
          <w:rFonts w:ascii="Verdana" w:hAnsi="Verdana"/>
        </w:rPr>
        <w:lastRenderedPageBreak/>
        <w:t>2. CONPES 3126 de mayo 30 de 2012. Lineamientos, plan de ejecución de metas, presupuesto y mecanismos de seguimiento para el plan nacional de atención y reparación integral a víctimas (pág. 7)</w:t>
      </w:r>
    </w:p>
    <w:p w14:paraId="05022036" w14:textId="7999BE40" w:rsidR="00D91557" w:rsidRPr="00D91557" w:rsidRDefault="00D91557" w:rsidP="00D91557">
      <w:pPr>
        <w:jc w:val="both"/>
        <w:rPr>
          <w:rFonts w:ascii="Verdana" w:hAnsi="Verdana"/>
        </w:rPr>
      </w:pPr>
      <w:r w:rsidRPr="00D91557">
        <w:rPr>
          <w:rFonts w:ascii="Verdana" w:hAnsi="Verdana"/>
        </w:rPr>
        <w:t>3. Como estructura para la formulación o ejecución de todos los programas y acciones tendientes a la asistencia, atención y reparación de las víctimas. Ley 1448 de 2011, artículo 159.</w:t>
      </w:r>
    </w:p>
    <w:p w14:paraId="6AB76A9C" w14:textId="1A24A193" w:rsidR="00D91557" w:rsidRPr="00D91557" w:rsidRDefault="00D91557" w:rsidP="00D91557">
      <w:pPr>
        <w:jc w:val="both"/>
        <w:rPr>
          <w:rFonts w:ascii="Verdana" w:hAnsi="Verdana"/>
        </w:rPr>
      </w:pPr>
      <w:r w:rsidRPr="00D91557">
        <w:rPr>
          <w:rFonts w:ascii="Verdana" w:hAnsi="Verdana"/>
        </w:rPr>
        <w:t>4. Artículo 63</w:t>
      </w:r>
    </w:p>
    <w:p w14:paraId="2396A354" w14:textId="0A5755DA" w:rsidR="00D91557" w:rsidRPr="00D91557" w:rsidRDefault="00D91557" w:rsidP="00D91557">
      <w:pPr>
        <w:jc w:val="both"/>
        <w:rPr>
          <w:rFonts w:ascii="Verdana" w:hAnsi="Verdana"/>
        </w:rPr>
      </w:pPr>
      <w:r w:rsidRPr="00D91557">
        <w:rPr>
          <w:rFonts w:ascii="Verdana" w:hAnsi="Verdana"/>
        </w:rPr>
        <w:t>5. Artículo 64</w:t>
      </w:r>
    </w:p>
    <w:p w14:paraId="7D58EDF4" w14:textId="538550AE" w:rsidR="00D91557" w:rsidRPr="00D91557" w:rsidRDefault="00D91557" w:rsidP="00D91557">
      <w:pPr>
        <w:jc w:val="both"/>
        <w:rPr>
          <w:rFonts w:ascii="Verdana" w:hAnsi="Verdana"/>
        </w:rPr>
      </w:pPr>
      <w:r w:rsidRPr="00D91557">
        <w:rPr>
          <w:rFonts w:ascii="Verdana" w:hAnsi="Verdana"/>
        </w:rPr>
        <w:t>6. Artículo 65</w:t>
      </w:r>
    </w:p>
    <w:p w14:paraId="3B3A2226" w14:textId="3C74FDCD" w:rsidR="00D91557" w:rsidRPr="00D91557" w:rsidRDefault="00D91557" w:rsidP="00D91557">
      <w:pPr>
        <w:jc w:val="both"/>
        <w:rPr>
          <w:rFonts w:ascii="Verdana" w:hAnsi="Verdana"/>
        </w:rPr>
      </w:pPr>
      <w:r w:rsidRPr="00D91557">
        <w:rPr>
          <w:rFonts w:ascii="Verdana" w:hAnsi="Verdana"/>
        </w:rPr>
        <w:t>7. Corte Constitucional – Auto 099 de 2013. Página. “Actualmente la ley 1448 de 2011 en su artículo 65 establece que la ayuda humanitaria de transición se entregará a las personas incluidas en el Registro Único de Víctimas “que aún no cuenten con los elementos necesarios para su subsistencia mínima, pero cuya situación, a la luz de la valoración hecha por la Unidad Administrativa Especial para la Atención y Reparación Integral a las Víctimas, no presenta las características de gravedad y urgencia que los haría destinatarios de la Atención Humanitaria de Emergencia” (énfasis agregados). ¿En qué casos la población desplazada no cuenta con elementos necesarios para su subsistencia mínima pero no se encuentra en la situación de gravedad y urgencia que los haría destinatarios de la atención de emergencia?</w:t>
      </w:r>
    </w:p>
    <w:p w14:paraId="7AC1626E" w14:textId="6F396C19" w:rsidR="00D91557" w:rsidRPr="00D91557" w:rsidRDefault="00D91557" w:rsidP="00D91557">
      <w:pPr>
        <w:jc w:val="both"/>
        <w:rPr>
          <w:rFonts w:ascii="Verdana" w:hAnsi="Verdana"/>
        </w:rPr>
      </w:pPr>
      <w:r w:rsidRPr="00D91557">
        <w:rPr>
          <w:rFonts w:ascii="Verdana" w:hAnsi="Verdana"/>
        </w:rPr>
        <w:t>8. Artículo 65 de la Ley 1448 y artículo 112 del Decreto 4800 de 2011</w:t>
      </w:r>
    </w:p>
    <w:p w14:paraId="195B86B3" w14:textId="08F4F7FE" w:rsidR="00D91557" w:rsidRPr="00D91557" w:rsidRDefault="00D91557" w:rsidP="00D91557">
      <w:pPr>
        <w:jc w:val="both"/>
        <w:rPr>
          <w:rFonts w:ascii="Verdana" w:hAnsi="Verdana"/>
        </w:rPr>
      </w:pPr>
      <w:r w:rsidRPr="00D91557">
        <w:rPr>
          <w:rFonts w:ascii="Verdana" w:hAnsi="Verdana"/>
        </w:rPr>
        <w:t>9. Artículo 109 y 112 del Decreto 4800 de 2011 (siempre y cuando no presente características de gravedad y urgencia)</w:t>
      </w:r>
    </w:p>
    <w:p w14:paraId="4F8DF7F8" w14:textId="38DA76F5" w:rsidR="00D91557" w:rsidRPr="00D91557" w:rsidRDefault="00D91557" w:rsidP="00D91557">
      <w:pPr>
        <w:jc w:val="both"/>
        <w:rPr>
          <w:rFonts w:ascii="Verdana" w:hAnsi="Verdana"/>
        </w:rPr>
      </w:pPr>
      <w:r w:rsidRPr="00D91557">
        <w:rPr>
          <w:rFonts w:ascii="Verdana" w:hAnsi="Verdana"/>
        </w:rPr>
        <w:t>10. Artículo 112 del Decreto 4800 de 2011</w:t>
      </w:r>
    </w:p>
    <w:p w14:paraId="778B8966" w14:textId="30126ADF" w:rsidR="00D91557" w:rsidRPr="00D91557" w:rsidRDefault="00D91557" w:rsidP="00D91557">
      <w:pPr>
        <w:jc w:val="both"/>
        <w:rPr>
          <w:rFonts w:ascii="Verdana" w:hAnsi="Verdana"/>
        </w:rPr>
      </w:pPr>
      <w:r w:rsidRPr="00D91557">
        <w:rPr>
          <w:rFonts w:ascii="Verdana" w:hAnsi="Verdana"/>
        </w:rPr>
        <w:t>11. Artículo 65 de la Ley 1448 de 2011</w:t>
      </w:r>
    </w:p>
    <w:p w14:paraId="3D687D00" w14:textId="4D9ACCFF" w:rsidR="00D91557" w:rsidRPr="00D91557" w:rsidRDefault="00D91557" w:rsidP="00D91557">
      <w:pPr>
        <w:jc w:val="both"/>
        <w:rPr>
          <w:rFonts w:ascii="Verdana" w:hAnsi="Verdana"/>
        </w:rPr>
      </w:pPr>
      <w:r w:rsidRPr="00D91557">
        <w:rPr>
          <w:rFonts w:ascii="Verdana" w:hAnsi="Verdana"/>
        </w:rPr>
        <w:t xml:space="preserve">12. La obligación de los Estados de no solo respetar sino de garantizar el derecho a la vida de quienes se encuentran bajo su jurisdicción se encuentra en diversos instrumentos internacionales, como es el caso del art. 2 del Pacto Internacional de Derechos Civiles y Políticos: “Cada Estado Parte se compromete a adoptar, con arreglo a sus procedimientos constitucionales y a las disposiciones del presente Pacto, las medidas oportunas para dictar las disposiciones legislativas o de otro carácter que fueren necesarias para hacer efectivos los derechos reconocidos en el presente Pacto y que no estuviesen ya garantizados por disposiciones legislativas o de otro carácter”. Al respecto, el Comité de Derechos Humanos resalta en su Comentario General No. 6 que el derecho a la vida no debe interpretarse de manera restrictiva, sino que su protección “exige que los Estados adopten medidas positivas”. Estas obligaciones también se encuentran consagradas en el Preámbulo de la Declaración Universal de Derechos Humanos de 1948. Convenio sobre los Derechos del Niño de 1989 (art. 6). Convenio </w:t>
      </w:r>
      <w:r w:rsidRPr="00D91557">
        <w:rPr>
          <w:rFonts w:ascii="Verdana" w:hAnsi="Verdana"/>
        </w:rPr>
        <w:lastRenderedPageBreak/>
        <w:t>Europeo para la Protección de los Derechos Humanos y de las Libertades Fundamentales de 1953 (art. 14) Carta Africana de Derechos del Hombre y de los Pueblos de 1981 (art. 1). Convención Americana sobre Derechos Humanos (Pacto de San José) de 1969 (arts. 1 y 2); Pacto Internacional de Derechos Económicos, Sociales y Culturales de 1966 (art. 2).</w:t>
      </w:r>
    </w:p>
    <w:p w14:paraId="734D3BB3" w14:textId="46B72043" w:rsidR="00D91557" w:rsidRPr="00D91557" w:rsidRDefault="00D91557" w:rsidP="00D91557">
      <w:pPr>
        <w:jc w:val="both"/>
        <w:rPr>
          <w:rFonts w:ascii="Verdana" w:hAnsi="Verdana"/>
        </w:rPr>
      </w:pPr>
      <w:r w:rsidRPr="00D91557">
        <w:rPr>
          <w:rFonts w:ascii="Verdana" w:hAnsi="Verdana"/>
        </w:rPr>
        <w:t>13. Ver artículo 27, del IV Convenio de Ginebra y artículo 3º común a los cuatro Convenios de Ginebra. El Protocolo II adicional a los Convenios de Ginebra de 1949, relativo a la protección de las víctimas de los conflictos armados sin carácter internacional, refuerza las anteriores disposiciones no solo recordando el respeto a la persona humana en el Preámbulo, sino que dedica dos títulos (II y IV) al trato humanitario de aquellos que no participan en las hostilidades.</w:t>
      </w:r>
    </w:p>
    <w:p w14:paraId="72486C3B" w14:textId="7A5D8B12" w:rsidR="00D91557" w:rsidRPr="00D91557" w:rsidRDefault="00D91557" w:rsidP="00D91557">
      <w:pPr>
        <w:jc w:val="both"/>
        <w:rPr>
          <w:rFonts w:ascii="Verdana" w:hAnsi="Verdana"/>
        </w:rPr>
      </w:pPr>
      <w:r w:rsidRPr="00D91557">
        <w:rPr>
          <w:rFonts w:ascii="Verdana" w:hAnsi="Verdana"/>
        </w:rPr>
        <w:t>14. Constitución Política, Artículo 4: “La Constitución es norma de normas. En todo caso de incompatibilidad entre la Constitución y la ley u otra norma jurídica, se aplicarán las disposiciones constitucionales.</w:t>
      </w:r>
    </w:p>
    <w:p w14:paraId="74D0FA64" w14:textId="71AD1E7B" w:rsidR="00D91557" w:rsidRPr="00D91557" w:rsidRDefault="00D91557" w:rsidP="00D91557">
      <w:pPr>
        <w:jc w:val="both"/>
        <w:rPr>
          <w:rFonts w:ascii="Verdana" w:hAnsi="Verdana"/>
        </w:rPr>
      </w:pPr>
      <w:r w:rsidRPr="00D91557">
        <w:rPr>
          <w:rFonts w:ascii="Verdana" w:hAnsi="Verdana"/>
        </w:rPr>
        <w:t xml:space="preserve">15. </w:t>
      </w:r>
      <w:proofErr w:type="spellStart"/>
      <w:r w:rsidRPr="00D91557">
        <w:rPr>
          <w:rFonts w:ascii="Verdana" w:hAnsi="Verdana"/>
        </w:rPr>
        <w:t>Ibídem</w:t>
      </w:r>
      <w:proofErr w:type="spellEnd"/>
      <w:r w:rsidRPr="00D91557">
        <w:rPr>
          <w:rFonts w:ascii="Verdana" w:hAnsi="Verdana"/>
        </w:rPr>
        <w:t>, artículo 1.</w:t>
      </w:r>
    </w:p>
    <w:p w14:paraId="232BDFA4" w14:textId="19775916" w:rsidR="00D91557" w:rsidRPr="00D91557" w:rsidRDefault="00D91557" w:rsidP="00D91557">
      <w:pPr>
        <w:jc w:val="both"/>
        <w:rPr>
          <w:rFonts w:ascii="Verdana" w:hAnsi="Verdana"/>
        </w:rPr>
      </w:pPr>
      <w:r w:rsidRPr="00D91557">
        <w:rPr>
          <w:rFonts w:ascii="Verdana" w:hAnsi="Verdana"/>
        </w:rPr>
        <w:t xml:space="preserve">16. </w:t>
      </w:r>
      <w:proofErr w:type="spellStart"/>
      <w:r w:rsidRPr="00D91557">
        <w:rPr>
          <w:rFonts w:ascii="Verdana" w:hAnsi="Verdana"/>
        </w:rPr>
        <w:t>Ibídem</w:t>
      </w:r>
      <w:proofErr w:type="spellEnd"/>
      <w:r w:rsidRPr="00D91557">
        <w:rPr>
          <w:rFonts w:ascii="Verdana" w:hAnsi="Verdana"/>
        </w:rPr>
        <w:t>, artículo 2.</w:t>
      </w:r>
    </w:p>
    <w:p w14:paraId="6310630E" w14:textId="12A152F9" w:rsidR="00D91557" w:rsidRPr="00D91557" w:rsidRDefault="00D91557" w:rsidP="00D91557">
      <w:pPr>
        <w:jc w:val="both"/>
        <w:rPr>
          <w:rFonts w:ascii="Verdana" w:hAnsi="Verdana"/>
        </w:rPr>
      </w:pPr>
      <w:r w:rsidRPr="00D91557">
        <w:rPr>
          <w:rFonts w:ascii="Verdana" w:hAnsi="Verdana"/>
        </w:rPr>
        <w:t>17. Ley 1448 de 2011, artículo 34. “COMPROMISOS DEL ESTADO. El Estado colombiano reitera su compromiso real y efectivo de respetar y hacer respetar los principios constitucionales, tratados y convenios e instrumentos que forman parte del bloque de constitucionalidad impidiendo que de un acto suyo o de sus agentes, sin importar su origen ideológico o electoral, se cause violación alguna a cualquiera de los habitantes de su territorio, en particular dentro de las circunstancias que inspiraron la presente ley.</w:t>
      </w:r>
    </w:p>
    <w:p w14:paraId="6ADA1D14" w14:textId="51F8D3DA" w:rsidR="00D91557" w:rsidRPr="00D91557" w:rsidRDefault="00D91557" w:rsidP="00D91557">
      <w:pPr>
        <w:jc w:val="both"/>
        <w:rPr>
          <w:rFonts w:ascii="Verdana" w:hAnsi="Verdana"/>
        </w:rPr>
      </w:pPr>
      <w:r w:rsidRPr="00D91557">
        <w:rPr>
          <w:rFonts w:ascii="Verdana" w:hAnsi="Verdana"/>
        </w:rPr>
        <w:t>18. Departamento Administrativo para la Prosperidad Social. Ibid. 08 de noviembre de 2011, pág. 244.</w:t>
      </w:r>
    </w:p>
    <w:p w14:paraId="5DFF6619" w14:textId="51E43147" w:rsidR="00D91557" w:rsidRPr="00D91557" w:rsidRDefault="00D91557" w:rsidP="00D91557">
      <w:pPr>
        <w:jc w:val="both"/>
        <w:rPr>
          <w:rFonts w:ascii="Verdana" w:hAnsi="Verdana"/>
        </w:rPr>
      </w:pPr>
      <w:r w:rsidRPr="00D91557">
        <w:rPr>
          <w:rFonts w:ascii="Verdana" w:hAnsi="Verdana"/>
        </w:rPr>
        <w:t>19. En la Subdirección de Restablecimiento de Derechos, de la Dirección de Protección del Instituto Colombiano de Bienestar Familiar.</w:t>
      </w:r>
    </w:p>
    <w:p w14:paraId="29FCAEF1" w14:textId="77777777" w:rsidR="00D91557" w:rsidRPr="00D91557" w:rsidRDefault="00D91557" w:rsidP="00D91557">
      <w:pPr>
        <w:jc w:val="both"/>
        <w:rPr>
          <w:rFonts w:ascii="Verdana" w:hAnsi="Verdana"/>
        </w:rPr>
      </w:pPr>
      <w:r w:rsidRPr="00D91557">
        <w:rPr>
          <w:rFonts w:ascii="Verdana" w:hAnsi="Verdana"/>
        </w:rPr>
        <w:t>20. El ICBF se encuentra en proceso de diseño del programa que contempla lo siguiente: (i) la focalización de los beneficiarios; (</w:t>
      </w:r>
      <w:proofErr w:type="spellStart"/>
      <w:r w:rsidRPr="00D91557">
        <w:rPr>
          <w:rFonts w:ascii="Verdana" w:hAnsi="Verdana"/>
        </w:rPr>
        <w:t>ii</w:t>
      </w:r>
      <w:proofErr w:type="spellEnd"/>
      <w:r w:rsidRPr="00D91557">
        <w:rPr>
          <w:rFonts w:ascii="Verdana" w:hAnsi="Verdana"/>
        </w:rPr>
        <w:t>) las herramientas; (</w:t>
      </w:r>
      <w:proofErr w:type="spellStart"/>
      <w:r w:rsidRPr="00D91557">
        <w:rPr>
          <w:rFonts w:ascii="Verdana" w:hAnsi="Verdana"/>
        </w:rPr>
        <w:t>iii</w:t>
      </w:r>
      <w:proofErr w:type="spellEnd"/>
      <w:r w:rsidRPr="00D91557">
        <w:rPr>
          <w:rFonts w:ascii="Verdana" w:hAnsi="Verdana"/>
        </w:rPr>
        <w:t>) la capacidad institucional tanto nacional como territorial; (</w:t>
      </w:r>
      <w:proofErr w:type="spellStart"/>
      <w:r w:rsidRPr="00D91557">
        <w:rPr>
          <w:rFonts w:ascii="Verdana" w:hAnsi="Verdana"/>
        </w:rPr>
        <w:t>iv</w:t>
      </w:r>
      <w:proofErr w:type="spellEnd"/>
      <w:r w:rsidRPr="00D91557">
        <w:rPr>
          <w:rFonts w:ascii="Verdana" w:hAnsi="Verdana"/>
        </w:rPr>
        <w:t xml:space="preserve">) los esquemas especiales de acompañamiento; (v) el seguimiento a los hogares víctimas, contribuyendo a su inclusión en los distintos programas sociales que desarrolle el Gobierno Nacional; y (vi) herramientas tecnológicas, que permitan atender a la población objetivo en condiciones dignas. La estrategia ofrecerá a la población el pago periódico de la ayuda que, a diferencia de la ayuda humanitaria, no funcionará por demanda sino por la selección de hogares a partir de la aplicación de criterios de vulnerabilidad. Esto permitirá realizar la valoración nutricional de los integrantes de 0 a 5 años; la verificación de la entrega de la ayuda; y la orientación y formación del hogar a través de un seguimiento periódico”. Unidad para la Atención y Reparación Integral a las Víctimas. Informe de la Unidad para </w:t>
      </w:r>
      <w:r w:rsidRPr="00D91557">
        <w:rPr>
          <w:rFonts w:ascii="Verdana" w:hAnsi="Verdana"/>
        </w:rPr>
        <w:lastRenderedPageBreak/>
        <w:t>la Atención y Reparación Integral a las Víctimas y en respuesta al auto de 11 de julio de 2012, presentado el 10 de agosto de 2012, pág. 2.</w:t>
      </w:r>
    </w:p>
    <w:p w14:paraId="5DD00F91" w14:textId="77777777" w:rsidR="00D91557" w:rsidRPr="00D91557" w:rsidRDefault="00D91557" w:rsidP="00D91557">
      <w:pPr>
        <w:jc w:val="both"/>
        <w:rPr>
          <w:rFonts w:ascii="Verdana" w:hAnsi="Verdana"/>
        </w:rPr>
      </w:pPr>
    </w:p>
    <w:p w14:paraId="0FEE63E9" w14:textId="3A435DE4" w:rsidR="00D91557" w:rsidRPr="00D91557" w:rsidRDefault="00D91557" w:rsidP="00D91557">
      <w:pPr>
        <w:jc w:val="both"/>
        <w:rPr>
          <w:rFonts w:ascii="Verdana" w:hAnsi="Verdana"/>
        </w:rPr>
      </w:pPr>
      <w:r w:rsidRPr="00D91557">
        <w:rPr>
          <w:rFonts w:ascii="Verdana" w:hAnsi="Verdana"/>
        </w:rPr>
        <w:t>21. Unidad para la atención y Reparación Integral a las Víctimas. Informe de la Unidad para la Atención y Reparación Integral a las Víctimas y en respuesta al auto de 11 de julio de 2012, presentado el 10 de agosto de 2012 pág. 7.</w:t>
      </w:r>
    </w:p>
    <w:p w14:paraId="69FDC47A" w14:textId="4575B949" w:rsidR="00D91557" w:rsidRPr="00D91557" w:rsidRDefault="00D91557" w:rsidP="00D91557">
      <w:pPr>
        <w:jc w:val="both"/>
        <w:rPr>
          <w:rFonts w:ascii="Verdana" w:hAnsi="Verdana"/>
        </w:rPr>
      </w:pPr>
      <w:r w:rsidRPr="00D91557">
        <w:rPr>
          <w:rFonts w:ascii="Verdana" w:hAnsi="Verdana"/>
        </w:rPr>
        <w:t>22. A nivel territorial la población desplazada por la violencia es atendida por medio de los puntos de atención (Unidades de Atención y Orientación y las Unidades Territoriales). Las últimas se encuentran ubicadas en capitales departamentales y en ellas se ubica la operación administrativa de la entidad nacional en el ámbito local y los profesionales a cargo de los programas de la misma. Las primeras son espacios físicos coordinados por las alcaldías municipales y distritales (bajo su responsabilidad), en las que están presentes las diferentes entidades del Gobierno Nacional con responsabilidad en la atención a la PI), para orientarlas, informarlas y prestarles servicios oportunos. Con la implementación de la ley 1448 de 2011, los puntos de atención serán fortalecidos o reemplazados por los Centros Regionales de Atención. Sobre esta estrategia se volverá más adelante, Departamento Administrativo para la Prosperidad Social Informe del Departamento administrativo para la prosperidad social en respuesta al auto de seguimiento 219 de 2011 Presentado el 8 de noviembre de 2011 Pág. 140.</w:t>
      </w:r>
    </w:p>
    <w:p w14:paraId="64B9F989" w14:textId="50520DF8" w:rsidR="00D91557" w:rsidRPr="00D91557" w:rsidRDefault="00D91557" w:rsidP="00D91557">
      <w:pPr>
        <w:jc w:val="both"/>
        <w:rPr>
          <w:rFonts w:ascii="Verdana" w:hAnsi="Verdana"/>
        </w:rPr>
      </w:pPr>
      <w:r w:rsidRPr="00D91557">
        <w:rPr>
          <w:rFonts w:ascii="Verdana" w:hAnsi="Verdana"/>
        </w:rPr>
        <w:t>23. Informe de la Asociación de Juntas de Desplazados de la Guajira, presentado el 3 de diciembre de 2009. Las autoridades locales también señalaron la falta de continuidad que se presente entre la ayuda inmediata y la de emergencia por la falta de presencia de los &lt;sic&gt;.</w:t>
      </w:r>
    </w:p>
    <w:p w14:paraId="179A6CC8" w14:textId="76EEC4DF" w:rsidR="00D91557" w:rsidRPr="00D91557" w:rsidRDefault="00D91557" w:rsidP="00D91557">
      <w:pPr>
        <w:jc w:val="both"/>
        <w:rPr>
          <w:rFonts w:ascii="Verdana" w:hAnsi="Verdana"/>
        </w:rPr>
      </w:pPr>
      <w:r w:rsidRPr="00D91557">
        <w:rPr>
          <w:rFonts w:ascii="Verdana" w:hAnsi="Verdana"/>
        </w:rPr>
        <w:t>24. “El Grupo de Atención Primaria, mediante su equipo permanente de profesionales y técnicos, coordina con estos enlaces la atención de casos específicos. Para este fin, se establecen con las Alcaldías acuerdos de trabajo para garantizar que la comunicación con esos enlaces sea fluida, y que las solicitudes remitidas por estos sean atendidas de manera ágil”. Informe del Departamento Administrativo para la Prosperidad Social en respuesta al auto de seguimiento 219 de 2011. Presentado el 08 de noviembre de 2011.</w:t>
      </w:r>
    </w:p>
    <w:p w14:paraId="6FA77468" w14:textId="4103A0CA" w:rsidR="00D91557" w:rsidRPr="00D91557" w:rsidRDefault="00D91557" w:rsidP="00D91557">
      <w:pPr>
        <w:jc w:val="both"/>
        <w:rPr>
          <w:rFonts w:ascii="Verdana" w:hAnsi="Verdana"/>
        </w:rPr>
      </w:pPr>
      <w:r w:rsidRPr="00D91557">
        <w:rPr>
          <w:rFonts w:ascii="Verdana" w:hAnsi="Verdana"/>
        </w:rPr>
        <w:t>25. A las personas desplazadas con la nueva forma de Acción Social de mandar a los usuarios a la UAO, les cuesta 150 ml pesos cada venida para programar las ayudas, porque en Puerto Libertador no encuentran al personero en la oficina ni a su secretario, siempre dicen “hoy no estamos atendiendo” Informe Córdoba. Departamental Independientes No alineados 2010. Radicado 22 de julio de 2010.</w:t>
      </w:r>
    </w:p>
    <w:p w14:paraId="064D12DA" w14:textId="433C2FF0" w:rsidR="00D91557" w:rsidRPr="00D91557" w:rsidRDefault="00D91557" w:rsidP="00D91557">
      <w:pPr>
        <w:jc w:val="both"/>
        <w:rPr>
          <w:rFonts w:ascii="Verdana" w:hAnsi="Verdana"/>
        </w:rPr>
      </w:pPr>
      <w:r w:rsidRPr="00D91557">
        <w:rPr>
          <w:rFonts w:ascii="Verdana" w:hAnsi="Verdana"/>
        </w:rPr>
        <w:t xml:space="preserve">26. En San Pelayo la irregularidad comprobada es que en la Personería no se pone la lista de personas favorecidas [con la ayuda de emergencia] y cada uno tiene que ir y solicitar para ver si fue favorecido”. Informe Córdoba. Mesa Departamental Independientes No Alineados 2010. Radicado 22 de julio de 2010 </w:t>
      </w:r>
      <w:r w:rsidRPr="00D91557">
        <w:rPr>
          <w:rFonts w:ascii="Verdana" w:hAnsi="Verdana"/>
        </w:rPr>
        <w:lastRenderedPageBreak/>
        <w:t>y el Gobierno sostuvo que “ante la imposibilidad de disponer puntos de atención del Departamento Administrativo para la Prosperidad Social en todo el territorio nacional y la deficiente respuesta de las personerías en los municipios, la entidad ha tomado medidas para hacer más efectivo el proceso de notificación”. Informe del Departamento Administrativo para la Prosperidad Social en respuesta al auto de seguimiento 219 de 2011. Presentado el 08 de noviembre de 2011, pág. 338.</w:t>
      </w:r>
    </w:p>
    <w:p w14:paraId="7D3D81D6" w14:textId="7707D9C2" w:rsidR="00D91557" w:rsidRPr="00D91557" w:rsidRDefault="00D91557" w:rsidP="00D91557">
      <w:pPr>
        <w:jc w:val="both"/>
        <w:rPr>
          <w:rFonts w:ascii="Verdana" w:hAnsi="Verdana"/>
        </w:rPr>
      </w:pPr>
      <w:r w:rsidRPr="00D91557">
        <w:rPr>
          <w:rFonts w:ascii="Verdana" w:hAnsi="Verdana"/>
        </w:rPr>
        <w:t xml:space="preserve">27. En determinados casos, esta estrategia está relacionada con las Unidades Móviles de Atención, la cual “permite la presencia institucional en aquellos lugares donde sea necesaria la instalación transitoria de puntos móviles </w:t>
      </w:r>
      <w:proofErr w:type="gramStart"/>
      <w:r w:rsidRPr="00D91557">
        <w:rPr>
          <w:rFonts w:ascii="Verdana" w:hAnsi="Verdana"/>
        </w:rPr>
        <w:t>(….</w:t>
      </w:r>
      <w:proofErr w:type="gramEnd"/>
      <w:r w:rsidRPr="00D91557">
        <w:rPr>
          <w:rFonts w:ascii="Verdana" w:hAnsi="Verdana"/>
        </w:rPr>
        <w:t>). La flexibilidad derivada de los puntos móviles ha permitido efectuar jornadas de atención y orientación en municipios, corregimientos y veredas con altas concentraciones de población víctima, “Departamento Administrativo para la Prosperidad Social. Informe del departamento administrativo para la prosperidad social en respuesta al auto de seguimiento 219 de 2011, presentado el 08 de noviembre de 2011, pág. 248.</w:t>
      </w:r>
    </w:p>
    <w:p w14:paraId="24141453" w14:textId="0339E3F0" w:rsidR="00D91557" w:rsidRPr="00D91557" w:rsidRDefault="00D91557" w:rsidP="00D91557">
      <w:pPr>
        <w:jc w:val="both"/>
        <w:rPr>
          <w:rFonts w:ascii="Verdana" w:hAnsi="Verdana"/>
        </w:rPr>
      </w:pPr>
      <w:r w:rsidRPr="00D91557">
        <w:rPr>
          <w:rFonts w:ascii="Verdana" w:hAnsi="Verdana"/>
        </w:rPr>
        <w:t xml:space="preserve">28. Ejemplos de la primera situación son Arauca, Quibdó y Apartadó, de la segunda Soledad, Yopal, Pasto y Bogotá y de la tercera, Barranquilla, Cartagena, Florencia, Popayán, Valledupar, Soacha, Neiva Santa Marta, Villavicencio, Cúcuta e Ibagué, quienes “requieren con urgencia recursos adicionales para que los puntos de atención sean </w:t>
      </w:r>
      <w:proofErr w:type="gramStart"/>
      <w:r w:rsidRPr="00D91557">
        <w:rPr>
          <w:rFonts w:ascii="Verdana" w:hAnsi="Verdana"/>
        </w:rPr>
        <w:t>accesible</w:t>
      </w:r>
      <w:proofErr w:type="gramEnd"/>
      <w:r w:rsidRPr="00D91557">
        <w:rPr>
          <w:rFonts w:ascii="Verdana" w:hAnsi="Verdana"/>
        </w:rPr>
        <w:t xml:space="preserve"> a las personas con discapacidad”. Departamento Administrativo para la Prosperidad Social, Informe del Departamento Administrativo para la Prosperidad Social en respuesta al auto de seguimiento 219 de 2011. Presentado el 08 de noviembre de 2011, </w:t>
      </w:r>
      <w:proofErr w:type="gramStart"/>
      <w:r w:rsidRPr="00D91557">
        <w:rPr>
          <w:rFonts w:ascii="Verdana" w:hAnsi="Verdana"/>
        </w:rPr>
        <w:t>págs..</w:t>
      </w:r>
      <w:proofErr w:type="gramEnd"/>
      <w:r w:rsidRPr="00D91557">
        <w:rPr>
          <w:rFonts w:ascii="Verdana" w:hAnsi="Verdana"/>
        </w:rPr>
        <w:t xml:space="preserve"> 152 y ss.</w:t>
      </w:r>
    </w:p>
    <w:p w14:paraId="45C04675" w14:textId="5EEA166C" w:rsidR="00D91557" w:rsidRPr="00D91557" w:rsidRDefault="00D91557" w:rsidP="00D91557">
      <w:pPr>
        <w:jc w:val="both"/>
        <w:rPr>
          <w:rFonts w:ascii="Verdana" w:hAnsi="Verdana"/>
        </w:rPr>
      </w:pPr>
      <w:r w:rsidRPr="00D91557">
        <w:rPr>
          <w:rFonts w:ascii="Verdana" w:hAnsi="Verdana"/>
        </w:rPr>
        <w:t>29. Sobre la relación entre confinamiento y desplazamiento, la Corte Constitucional en el auto 093 de 2008 (M. P. Manuel José Cepeda), lo siguiente: “4. Para la Corte Constitucional es claro que existe un vínculo causal directo entre las situaciones de confinamiento y la incurrencia de posteriores desplazamientos forzados de alto riesgo”.</w:t>
      </w:r>
    </w:p>
    <w:p w14:paraId="66BC8F83" w14:textId="556B1BD4" w:rsidR="00D91557" w:rsidRPr="00D91557" w:rsidRDefault="00D91557" w:rsidP="00D91557">
      <w:pPr>
        <w:jc w:val="both"/>
        <w:rPr>
          <w:rFonts w:ascii="Verdana" w:hAnsi="Verdana"/>
        </w:rPr>
      </w:pPr>
      <w:r w:rsidRPr="00D91557">
        <w:rPr>
          <w:rFonts w:ascii="Verdana" w:hAnsi="Verdana"/>
        </w:rPr>
        <w:t xml:space="preserve">30. Sobre ese último escenario, a la Corte le han informado lo siguiente: “Bastante preocupante es también </w:t>
      </w:r>
      <w:proofErr w:type="gramStart"/>
      <w:r w:rsidRPr="00D91557">
        <w:rPr>
          <w:rFonts w:ascii="Verdana" w:hAnsi="Verdana"/>
        </w:rPr>
        <w:t>que</w:t>
      </w:r>
      <w:proofErr w:type="gramEnd"/>
      <w:r w:rsidRPr="00D91557">
        <w:rPr>
          <w:rFonts w:ascii="Verdana" w:hAnsi="Verdana"/>
        </w:rPr>
        <w:t xml:space="preserve"> en reiteradas ocasiones, Acción Social para brindar asistencia humanitaria, debe tener el aval de las fuerzas armadas. Muestra de esto es lo ocurrido en junio de 2009, en las comunidades de </w:t>
      </w:r>
      <w:proofErr w:type="spellStart"/>
      <w:r w:rsidRPr="00D91557">
        <w:rPr>
          <w:rFonts w:ascii="Verdana" w:hAnsi="Verdana"/>
        </w:rPr>
        <w:t>Pichicora</w:t>
      </w:r>
      <w:proofErr w:type="spellEnd"/>
      <w:r w:rsidRPr="00D91557">
        <w:rPr>
          <w:rFonts w:ascii="Verdana" w:hAnsi="Verdana"/>
        </w:rPr>
        <w:t xml:space="preserve"> y Peña Vegra en el municipio de Boyacá, donde Acción Social se negó a entrar a brindar atención humanitaria de emergencia, porque aseguraron tener un protocolo que los impedía entrar sin aval del Ejército”. Asociación de Cabildos Indígenas </w:t>
      </w:r>
      <w:proofErr w:type="spellStart"/>
      <w:r w:rsidRPr="00D91557">
        <w:rPr>
          <w:rFonts w:ascii="Verdana" w:hAnsi="Verdana"/>
        </w:rPr>
        <w:t>Embera</w:t>
      </w:r>
      <w:proofErr w:type="spellEnd"/>
      <w:r w:rsidRPr="00D91557">
        <w:rPr>
          <w:rFonts w:ascii="Verdana" w:hAnsi="Verdana"/>
        </w:rPr>
        <w:t xml:space="preserve">, </w:t>
      </w:r>
      <w:proofErr w:type="spellStart"/>
      <w:r w:rsidRPr="00D91557">
        <w:rPr>
          <w:rFonts w:ascii="Verdana" w:hAnsi="Verdana"/>
        </w:rPr>
        <w:t>Wouman</w:t>
      </w:r>
      <w:proofErr w:type="spellEnd"/>
      <w:r w:rsidRPr="00D91557">
        <w:rPr>
          <w:rFonts w:ascii="Verdana" w:hAnsi="Verdana"/>
        </w:rPr>
        <w:t xml:space="preserve">, </w:t>
      </w:r>
      <w:proofErr w:type="spellStart"/>
      <w:r w:rsidRPr="00D91557">
        <w:rPr>
          <w:rFonts w:ascii="Verdana" w:hAnsi="Verdana"/>
        </w:rPr>
        <w:t>Katío</w:t>
      </w:r>
      <w:proofErr w:type="spellEnd"/>
      <w:r w:rsidRPr="00D91557">
        <w:rPr>
          <w:rFonts w:ascii="Verdana" w:hAnsi="Verdana"/>
        </w:rPr>
        <w:t xml:space="preserve"> Charal y Tule del Departamento del Chocó (OREWA), informe presentado el 29 de abril de 2010.</w:t>
      </w:r>
    </w:p>
    <w:p w14:paraId="5D6B8E59" w14:textId="091788C2" w:rsidR="00D91557" w:rsidRPr="00F6447E" w:rsidRDefault="00D91557" w:rsidP="00D91557">
      <w:pPr>
        <w:jc w:val="both"/>
        <w:rPr>
          <w:rFonts w:ascii="Verdana" w:hAnsi="Verdana"/>
          <w:lang w:val="pt-PT"/>
        </w:rPr>
      </w:pPr>
      <w:r w:rsidRPr="00F6447E">
        <w:rPr>
          <w:rFonts w:ascii="Verdana" w:hAnsi="Verdana"/>
          <w:lang w:val="pt-PT"/>
        </w:rPr>
        <w:t>31. Corte Constitucional – Auto 099 de 2011 pág. 100.</w:t>
      </w:r>
    </w:p>
    <w:p w14:paraId="0E382708" w14:textId="66E62DCD" w:rsidR="00D91557" w:rsidRPr="00F6447E" w:rsidRDefault="00D91557" w:rsidP="00D91557">
      <w:pPr>
        <w:jc w:val="both"/>
        <w:rPr>
          <w:rFonts w:ascii="Verdana" w:hAnsi="Verdana"/>
          <w:lang w:val="pt-PT"/>
        </w:rPr>
      </w:pPr>
      <w:r w:rsidRPr="00F6447E">
        <w:rPr>
          <w:rFonts w:ascii="Verdana" w:hAnsi="Verdana"/>
          <w:lang w:val="pt-PT"/>
        </w:rPr>
        <w:t>32. Corte Constitucional sentencia T-377 de 2000.</w:t>
      </w:r>
    </w:p>
    <w:p w14:paraId="3A9D5DB4" w14:textId="2777FB93" w:rsidR="00D91557" w:rsidRPr="00F6447E" w:rsidRDefault="00D91557" w:rsidP="00D91557">
      <w:pPr>
        <w:jc w:val="both"/>
        <w:rPr>
          <w:rFonts w:ascii="Verdana" w:hAnsi="Verdana"/>
          <w:lang w:val="pt-PT"/>
        </w:rPr>
      </w:pPr>
      <w:r w:rsidRPr="00F6447E">
        <w:rPr>
          <w:rFonts w:ascii="Verdana" w:hAnsi="Verdana"/>
          <w:lang w:val="pt-PT"/>
        </w:rPr>
        <w:lastRenderedPageBreak/>
        <w:t>33. Reiterada jurisprudencia. Corte Constitucional: T-047 de 2008, T-303 de 1997, T-490 de 1998 y T-180 de 2001, entre otras.</w:t>
      </w:r>
    </w:p>
    <w:p w14:paraId="7766FCFE" w14:textId="40FAF1AC" w:rsidR="00D91557" w:rsidRPr="00D91557" w:rsidRDefault="00D91557" w:rsidP="00D91557">
      <w:pPr>
        <w:jc w:val="both"/>
        <w:rPr>
          <w:rFonts w:ascii="Verdana" w:hAnsi="Verdana"/>
        </w:rPr>
      </w:pPr>
      <w:r w:rsidRPr="00D91557">
        <w:rPr>
          <w:rFonts w:ascii="Verdana" w:hAnsi="Verdana"/>
        </w:rPr>
        <w:t>34. Reiterada jurisprudencia, Corte Constitucional sentencias T-047 de 2008, T-481 de 1992, T-159 de 1993, T-056 de 1994, T-076 de 1995, T-275 de 1997 y T-1422 de 2000, entre otras. Así mismo, lo dispone el artículo 85 de la Constitución Política.</w:t>
      </w:r>
    </w:p>
    <w:p w14:paraId="5A504462" w14:textId="761620F5" w:rsidR="00D91557" w:rsidRPr="00D91557" w:rsidRDefault="00D91557" w:rsidP="00D91557">
      <w:pPr>
        <w:jc w:val="both"/>
        <w:rPr>
          <w:rFonts w:ascii="Verdana" w:hAnsi="Verdana"/>
        </w:rPr>
      </w:pPr>
      <w:r w:rsidRPr="00D91557">
        <w:rPr>
          <w:rFonts w:ascii="Verdana" w:hAnsi="Verdana"/>
        </w:rPr>
        <w:t>35. Reiterada jurisprudencia. Corte Constitucional sentencias T-307 de 1999, T-1104 de 2002 entre otras.</w:t>
      </w:r>
    </w:p>
    <w:p w14:paraId="7303FA54" w14:textId="49FB502A" w:rsidR="00D91557" w:rsidRPr="00D91557" w:rsidRDefault="00D91557" w:rsidP="00D91557">
      <w:pPr>
        <w:jc w:val="both"/>
        <w:rPr>
          <w:rFonts w:ascii="Verdana" w:hAnsi="Verdana"/>
        </w:rPr>
      </w:pPr>
      <w:r w:rsidRPr="00D91557">
        <w:rPr>
          <w:rFonts w:ascii="Verdana" w:hAnsi="Verdana"/>
        </w:rPr>
        <w:t>36. Auto 099 de 2013: “La Corte constitucional ha registrado cierto tipo de conductos realizados por las autoridades obligadas a demorar aún más los plazos ordinarios para la entrega de la ayuda de emergencia. Por ejemplo, en lugar de verificar la existencia de errores sencillos que se pueden corregir antes de enviar la solicitud para que sea valorada en la capital del país, ésta se envía con esos errores lo que provoca que la solicitud sea devuelta para efectuar las correcciones en un proceso que alarga los tiempos innecesariamente”.</w:t>
      </w:r>
    </w:p>
    <w:p w14:paraId="0496FEF1" w14:textId="493F2A28" w:rsidR="00D91557" w:rsidRPr="00D91557" w:rsidRDefault="00D91557" w:rsidP="00D91557">
      <w:pPr>
        <w:jc w:val="both"/>
        <w:rPr>
          <w:rFonts w:ascii="Verdana" w:hAnsi="Verdana"/>
        </w:rPr>
      </w:pPr>
      <w:r w:rsidRPr="00D91557">
        <w:rPr>
          <w:rFonts w:ascii="Verdana" w:hAnsi="Verdana"/>
        </w:rPr>
        <w:t>37. Ley 1448 de 2011. Artículo 28. Derechos de las Víctimas No. 10</w:t>
      </w:r>
    </w:p>
    <w:p w14:paraId="4F39CC5B" w14:textId="174124A3" w:rsidR="00D91557" w:rsidRPr="00D91557" w:rsidRDefault="00D91557" w:rsidP="00D91557">
      <w:pPr>
        <w:jc w:val="both"/>
        <w:rPr>
          <w:rFonts w:ascii="Verdana" w:hAnsi="Verdana"/>
        </w:rPr>
      </w:pPr>
      <w:r w:rsidRPr="00D91557">
        <w:rPr>
          <w:rFonts w:ascii="Verdana" w:hAnsi="Verdana"/>
        </w:rPr>
        <w:t>38. Ley 1448 de 2011. Artículo 30. Principio de Publicidad.</w:t>
      </w:r>
    </w:p>
    <w:p w14:paraId="758CC8B9" w14:textId="39274E77" w:rsidR="00D91557" w:rsidRPr="00D91557" w:rsidRDefault="00D91557" w:rsidP="00D91557">
      <w:pPr>
        <w:jc w:val="both"/>
        <w:rPr>
          <w:rFonts w:ascii="Verdana" w:hAnsi="Verdana"/>
        </w:rPr>
      </w:pPr>
      <w:r w:rsidRPr="00D91557">
        <w:rPr>
          <w:rFonts w:ascii="Verdana" w:hAnsi="Verdana"/>
        </w:rPr>
        <w:t>39. Ley 1448 de 2011. TÍTULO II DEL REGISTRO ÚNICO DE VÍCTIMAS. Artículos 13 a 23.</w:t>
      </w:r>
    </w:p>
    <w:p w14:paraId="78D0BC67" w14:textId="33FA0F7C" w:rsidR="00D91557" w:rsidRPr="00D91557" w:rsidRDefault="00D91557" w:rsidP="00D91557">
      <w:pPr>
        <w:jc w:val="both"/>
        <w:rPr>
          <w:rFonts w:ascii="Verdana" w:hAnsi="Verdana"/>
        </w:rPr>
      </w:pPr>
      <w:r w:rsidRPr="00D91557">
        <w:rPr>
          <w:rFonts w:ascii="Verdana" w:hAnsi="Verdana"/>
        </w:rPr>
        <w:t>40. LEY 1448 DE 2011. TÍTULO V DE LA INSTITUCIONALIDAD PARA LA ATENCIÓN Y REPARACIÓN A LAS VÍCTIMAS, artículo 153</w:t>
      </w:r>
    </w:p>
    <w:p w14:paraId="686EAB66" w14:textId="1B30E33D" w:rsidR="00D91557" w:rsidRPr="00D91557" w:rsidRDefault="00D91557" w:rsidP="00D91557">
      <w:pPr>
        <w:jc w:val="both"/>
        <w:rPr>
          <w:rFonts w:ascii="Verdana" w:hAnsi="Verdana"/>
        </w:rPr>
      </w:pPr>
      <w:r w:rsidRPr="00D91557">
        <w:rPr>
          <w:rFonts w:ascii="Verdana" w:hAnsi="Verdana"/>
        </w:rPr>
        <w:t>41. CONPES 3726 página 32</w:t>
      </w:r>
    </w:p>
    <w:p w14:paraId="6DC40FC0" w14:textId="3D8A50CF" w:rsidR="00D91557" w:rsidRPr="00D91557" w:rsidRDefault="00D91557" w:rsidP="00D91557">
      <w:pPr>
        <w:jc w:val="both"/>
        <w:rPr>
          <w:rFonts w:ascii="Verdana" w:hAnsi="Verdana"/>
        </w:rPr>
      </w:pPr>
      <w:r w:rsidRPr="00D91557">
        <w:rPr>
          <w:rFonts w:ascii="Verdana" w:hAnsi="Verdana"/>
        </w:rPr>
        <w:t xml:space="preserve">42. </w:t>
      </w:r>
      <w:proofErr w:type="spellStart"/>
      <w:r w:rsidRPr="00D91557">
        <w:rPr>
          <w:rFonts w:ascii="Verdana" w:hAnsi="Verdana"/>
        </w:rPr>
        <w:t>Ibídem</w:t>
      </w:r>
      <w:proofErr w:type="spellEnd"/>
      <w:r w:rsidRPr="00D91557">
        <w:rPr>
          <w:rFonts w:ascii="Verdana" w:hAnsi="Verdana"/>
        </w:rPr>
        <w:t xml:space="preserve"> </w:t>
      </w:r>
      <w:proofErr w:type="spellStart"/>
      <w:r w:rsidRPr="00D91557">
        <w:rPr>
          <w:rFonts w:ascii="Verdana" w:hAnsi="Verdana"/>
        </w:rPr>
        <w:t>pag.</w:t>
      </w:r>
      <w:proofErr w:type="spellEnd"/>
      <w:r w:rsidRPr="00D91557">
        <w:rPr>
          <w:rFonts w:ascii="Verdana" w:hAnsi="Verdana"/>
        </w:rPr>
        <w:t xml:space="preserve"> 57.</w:t>
      </w:r>
    </w:p>
    <w:p w14:paraId="4BCCB851" w14:textId="7E4AF122" w:rsidR="00D91557" w:rsidRPr="00D91557" w:rsidRDefault="00D91557" w:rsidP="00D91557">
      <w:pPr>
        <w:jc w:val="both"/>
        <w:rPr>
          <w:rFonts w:ascii="Verdana" w:hAnsi="Verdana"/>
        </w:rPr>
      </w:pPr>
      <w:r w:rsidRPr="00D91557">
        <w:rPr>
          <w:rFonts w:ascii="Verdana" w:hAnsi="Verdana"/>
        </w:rPr>
        <w:t>43. Decreto 4800 de 2011, Artículo 16 DEFINICIÓN DEL REGISTRO</w:t>
      </w:r>
    </w:p>
    <w:p w14:paraId="1AE56581" w14:textId="1C11A0B0" w:rsidR="00D91557" w:rsidRPr="00D91557" w:rsidRDefault="00D91557" w:rsidP="00D91557">
      <w:pPr>
        <w:jc w:val="both"/>
        <w:rPr>
          <w:rFonts w:ascii="Verdana" w:hAnsi="Verdana"/>
        </w:rPr>
      </w:pPr>
      <w:r w:rsidRPr="00D91557">
        <w:rPr>
          <w:rFonts w:ascii="Verdana" w:hAnsi="Verdana"/>
        </w:rPr>
        <w:t>44. Ley 1448 de 2011 ARTÍCULO 153</w:t>
      </w:r>
    </w:p>
    <w:p w14:paraId="0C99E4C5" w14:textId="4E12DE20" w:rsidR="00D91557" w:rsidRPr="00D91557" w:rsidRDefault="00D91557" w:rsidP="00D91557">
      <w:pPr>
        <w:jc w:val="both"/>
        <w:rPr>
          <w:rFonts w:ascii="Verdana" w:hAnsi="Verdana"/>
        </w:rPr>
      </w:pPr>
      <w:r w:rsidRPr="00D91557">
        <w:rPr>
          <w:rFonts w:ascii="Verdana" w:hAnsi="Verdana"/>
        </w:rPr>
        <w:t>45. Decreto 4801 e 2011, artículo 56. Definición de la Red Nacional de Información.</w:t>
      </w:r>
    </w:p>
    <w:p w14:paraId="5E7B9437" w14:textId="44E04ACA" w:rsidR="00D91557" w:rsidRPr="00D91557" w:rsidRDefault="00D91557" w:rsidP="00D91557">
      <w:pPr>
        <w:jc w:val="both"/>
        <w:rPr>
          <w:rFonts w:ascii="Verdana" w:hAnsi="Verdana"/>
        </w:rPr>
      </w:pPr>
      <w:r w:rsidRPr="00D91557">
        <w:rPr>
          <w:rFonts w:ascii="Verdana" w:hAnsi="Verdana"/>
        </w:rPr>
        <w:t>46. Ley 1448 de 2011. Artículo 160. De la conformación del sistema nacional de atención y reparación a las víctimas. El sistema nacional de atención y reparación a las víctimas estará conformado por las siguientes entidades y programas: (…) 23. Instituto Colombiano de Bienestar Familiar. (…)”</w:t>
      </w:r>
    </w:p>
    <w:p w14:paraId="6C96016C" w14:textId="6BA20710" w:rsidR="00D91557" w:rsidRPr="00D91557" w:rsidRDefault="00D91557" w:rsidP="00D91557">
      <w:pPr>
        <w:jc w:val="both"/>
        <w:rPr>
          <w:rFonts w:ascii="Verdana" w:hAnsi="Verdana"/>
        </w:rPr>
      </w:pPr>
      <w:r w:rsidRPr="00D91557">
        <w:rPr>
          <w:rFonts w:ascii="Verdana" w:hAnsi="Verdana"/>
        </w:rPr>
        <w:t>47. Ley 1448 de 2011. Artículo 161. OBJETIVOS DEL SISTEMA DE ATENCIÓN Y REPARACIÓN DE LAS VÍCTIMAS No. 10.</w:t>
      </w:r>
    </w:p>
    <w:p w14:paraId="05F99BAF" w14:textId="41F5EF4B" w:rsidR="00D91557" w:rsidRPr="00D91557" w:rsidRDefault="00D91557" w:rsidP="00D91557">
      <w:pPr>
        <w:jc w:val="both"/>
        <w:rPr>
          <w:rFonts w:ascii="Verdana" w:hAnsi="Verdana"/>
        </w:rPr>
      </w:pPr>
      <w:r w:rsidRPr="00D91557">
        <w:rPr>
          <w:rFonts w:ascii="Verdana" w:hAnsi="Verdana"/>
        </w:rPr>
        <w:t>48. Decreto 4800 de 2011. Artículo 10. CORRESPONSAIBILIDAD.</w:t>
      </w:r>
    </w:p>
    <w:p w14:paraId="5D68A948" w14:textId="12E9DB1A" w:rsidR="00D91557" w:rsidRPr="00D91557" w:rsidRDefault="00D91557" w:rsidP="00D91557">
      <w:pPr>
        <w:jc w:val="both"/>
        <w:rPr>
          <w:rFonts w:ascii="Verdana" w:hAnsi="Verdana"/>
        </w:rPr>
      </w:pPr>
      <w:r w:rsidRPr="00D91557">
        <w:rPr>
          <w:rFonts w:ascii="Verdana" w:hAnsi="Verdana"/>
        </w:rPr>
        <w:t>49. Decreto 4800 de 2011, Artículo 12. CONCURRENCIA</w:t>
      </w:r>
    </w:p>
    <w:p w14:paraId="2862CB02" w14:textId="5823557A" w:rsidR="00D91557" w:rsidRPr="00D91557" w:rsidRDefault="00D91557" w:rsidP="00D91557">
      <w:pPr>
        <w:jc w:val="both"/>
        <w:rPr>
          <w:rFonts w:ascii="Verdana" w:hAnsi="Verdana"/>
        </w:rPr>
      </w:pPr>
      <w:r w:rsidRPr="00D91557">
        <w:rPr>
          <w:rFonts w:ascii="Verdana" w:hAnsi="Verdana"/>
        </w:rPr>
        <w:lastRenderedPageBreak/>
        <w:t xml:space="preserve">50. Unidad de Víctimas – Protocolo de caracterización, </w:t>
      </w:r>
      <w:proofErr w:type="spellStart"/>
      <w:r w:rsidRPr="00D91557">
        <w:rPr>
          <w:rFonts w:ascii="Verdana" w:hAnsi="Verdana"/>
        </w:rPr>
        <w:t>viabilización</w:t>
      </w:r>
      <w:proofErr w:type="spellEnd"/>
      <w:r w:rsidRPr="00D91557">
        <w:rPr>
          <w:rFonts w:ascii="Verdana" w:hAnsi="Verdana"/>
        </w:rPr>
        <w:t xml:space="preserve"> de solicitudes, asignación de turnos y colocación de atención humanitaria en las Etapas de Emergencia y Transición para víctimas de desplazamiento forzado.</w:t>
      </w:r>
    </w:p>
    <w:p w14:paraId="7112D59A" w14:textId="77777777" w:rsidR="00D91557" w:rsidRPr="00D91557" w:rsidRDefault="00D91557" w:rsidP="00D91557">
      <w:pPr>
        <w:jc w:val="both"/>
        <w:rPr>
          <w:rFonts w:ascii="Verdana" w:hAnsi="Verdana"/>
        </w:rPr>
      </w:pPr>
      <w:r w:rsidRPr="00D91557">
        <w:rPr>
          <w:rFonts w:ascii="Verdana" w:hAnsi="Verdana"/>
        </w:rPr>
        <w:t>51. Corte Constitucional Sentencia T-496 de 2007 (M.P. Jaime Córdoba Triviño. Como ha destacado la Corte, si bien resulta imperativo el respeto de los turnos de entrega de la ayuda humanitaria de emergencia, so pena de vulnerar el derecho a la igualdad de las demás personas que se encuentran en la misma situación, este hecho no puede convertirse en una excusa para no informar a la persona sobre el momento en que se hará entrega de la asistencia humanitaria. No debe confundirse el respeto al derecho a la igualdad que impone acatar los turnos establecidos para la entrega de la asistencia humanitaria, con el derecho que tiene las personas de conocer la fecha a partir de la cual se hará entrega de la ayuda, la cual debe darse dentro de un periodo de tiempo oportuno y razonable. Énfasis propio.</w:t>
      </w:r>
    </w:p>
    <w:p w14:paraId="189D023B" w14:textId="77777777" w:rsidR="00D91557" w:rsidRPr="00D91557" w:rsidRDefault="00D91557" w:rsidP="00D91557">
      <w:pPr>
        <w:jc w:val="both"/>
        <w:rPr>
          <w:rFonts w:ascii="Verdana" w:hAnsi="Verdana"/>
        </w:rPr>
      </w:pPr>
    </w:p>
    <w:sectPr w:rsidR="00D91557" w:rsidRPr="00D9155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39B32" w14:textId="77777777" w:rsidR="00766541" w:rsidRDefault="00766541" w:rsidP="00A8452C">
      <w:pPr>
        <w:spacing w:after="0" w:line="240" w:lineRule="auto"/>
      </w:pPr>
      <w:r>
        <w:separator/>
      </w:r>
    </w:p>
  </w:endnote>
  <w:endnote w:type="continuationSeparator" w:id="0">
    <w:p w14:paraId="76480E03" w14:textId="77777777" w:rsidR="00766541" w:rsidRDefault="00766541" w:rsidP="00A845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89C97D" w14:textId="77777777" w:rsidR="00766541" w:rsidRDefault="00766541" w:rsidP="00A8452C">
      <w:pPr>
        <w:spacing w:after="0" w:line="240" w:lineRule="auto"/>
      </w:pPr>
      <w:r>
        <w:separator/>
      </w:r>
    </w:p>
  </w:footnote>
  <w:footnote w:type="continuationSeparator" w:id="0">
    <w:p w14:paraId="150D9D41" w14:textId="77777777" w:rsidR="00766541" w:rsidRDefault="00766541" w:rsidP="00A8452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557"/>
    <w:rsid w:val="000B4793"/>
    <w:rsid w:val="00766541"/>
    <w:rsid w:val="0091379B"/>
    <w:rsid w:val="00A8452C"/>
    <w:rsid w:val="00CA5EE3"/>
    <w:rsid w:val="00D91557"/>
    <w:rsid w:val="00F6447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B09C8"/>
  <w15:chartTrackingRefBased/>
  <w15:docId w15:val="{E98E0D96-CDDF-4D42-BB93-44CC9D32B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8452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8452C"/>
  </w:style>
  <w:style w:type="paragraph" w:styleId="Piedepgina">
    <w:name w:val="footer"/>
    <w:basedOn w:val="Normal"/>
    <w:link w:val="PiedepginaCar"/>
    <w:uiPriority w:val="99"/>
    <w:unhideWhenUsed/>
    <w:rsid w:val="00A8452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845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customXml" Target="../customXml/item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10" ma:contentTypeDescription="Crear nuevo documento." ma:contentTypeScope="" ma:versionID="d9c3e3ec5e0546637acbec46b3c5a26c">
  <xsd:schema xmlns:xsd="http://www.w3.org/2001/XMLSchema" xmlns:xs="http://www.w3.org/2001/XMLSchema" xmlns:p="http://schemas.microsoft.com/office/2006/metadata/properties" xmlns:ns2="83b6216f-50ca-4067-8039-c588814c8876" xmlns:ns3="f591d60a-2ca2-4f72-bf37-5f6cc3d2c449" targetNamespace="http://schemas.microsoft.com/office/2006/metadata/properties" ma:root="true" ma:fieldsID="83c3124ad89ac7c795202babcd3dbbfb" ns2:_="" ns3:_="">
    <xsd:import namespace="83b6216f-50ca-4067-8039-c588814c8876"/>
    <xsd:import namespace="f591d60a-2ca2-4f72-bf37-5f6cc3d2c4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displayName="Etiquetas de imagen_0" ma:hidden="true" ma:internalName="lcf76f155ced4ddcb4097134ff3c332f">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91d60a-2ca2-4f72-bf37-5f6cc3d2c44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0e35cc8-e9e2-414a-b1f7-d83e465e3d54}" ma:internalName="TaxCatchAll" ma:showField="CatchAllData" ma:web="f591d60a-2ca2-4f72-bf37-5f6cc3d2c4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591d60a-2ca2-4f72-bf37-5f6cc3d2c449" xsi:nil="true"/>
    <lcf76f155ced4ddcb4097134ff3c332f xmlns="83b6216f-50ca-4067-8039-c588814c8876" xsi:nil="true"/>
  </documentManagement>
</p:properties>
</file>

<file path=customXml/itemProps1.xml><?xml version="1.0" encoding="utf-8"?>
<ds:datastoreItem xmlns:ds="http://schemas.openxmlformats.org/officeDocument/2006/customXml" ds:itemID="{095A6F26-43DE-4CD1-96E4-1B9017E07B4F}"/>
</file>

<file path=customXml/itemProps2.xml><?xml version="1.0" encoding="utf-8"?>
<ds:datastoreItem xmlns:ds="http://schemas.openxmlformats.org/officeDocument/2006/customXml" ds:itemID="{9D13F13D-950C-42D0-A8AA-57EB55A55F43}"/>
</file>

<file path=customXml/itemProps3.xml><?xml version="1.0" encoding="utf-8"?>
<ds:datastoreItem xmlns:ds="http://schemas.openxmlformats.org/officeDocument/2006/customXml" ds:itemID="{9166A01E-A46C-4771-AADD-E8F79701BDB0}"/>
</file>

<file path=docProps/app.xml><?xml version="1.0" encoding="utf-8"?>
<Properties xmlns="http://schemas.openxmlformats.org/officeDocument/2006/extended-properties" xmlns:vt="http://schemas.openxmlformats.org/officeDocument/2006/docPropsVTypes">
  <Template>Normal</Template>
  <TotalTime>1</TotalTime>
  <Pages>21</Pages>
  <Words>8629</Words>
  <Characters>47460</Characters>
  <Application>Microsoft Office Word</Application>
  <DocSecurity>0</DocSecurity>
  <Lines>395</Lines>
  <Paragraphs>111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Daniel Eduardo Lozano Bocanegra</cp:lastModifiedBy>
  <cp:revision>2</cp:revision>
  <dcterms:created xsi:type="dcterms:W3CDTF">2026-07-24T14:06:00Z</dcterms:created>
  <dcterms:modified xsi:type="dcterms:W3CDTF">2026-07-24T14:06:00Z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