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92E9C" w14:textId="0794723A" w:rsidR="00C07900" w:rsidRPr="00C07900" w:rsidRDefault="00C07900" w:rsidP="00C07900">
      <w:pPr>
        <w:jc w:val="center"/>
        <w:rPr>
          <w:rFonts w:ascii="Verdana" w:hAnsi="Verdana"/>
          <w:b/>
          <w:bCs/>
        </w:rPr>
      </w:pPr>
      <w:r w:rsidRPr="00C07900">
        <w:rPr>
          <w:rFonts w:ascii="Verdana" w:hAnsi="Verdana"/>
          <w:b/>
          <w:bCs/>
        </w:rPr>
        <w:t>CONCEPTO 85A DE 2014</w:t>
      </w:r>
    </w:p>
    <w:p w14:paraId="588F2996" w14:textId="4E92EB0E" w:rsidR="00C07900" w:rsidRPr="00C07900" w:rsidRDefault="00C07900" w:rsidP="00C07900">
      <w:pPr>
        <w:jc w:val="center"/>
        <w:rPr>
          <w:rFonts w:ascii="Verdana" w:hAnsi="Verdana"/>
        </w:rPr>
      </w:pPr>
      <w:r w:rsidRPr="00C07900">
        <w:rPr>
          <w:rFonts w:ascii="Verdana" w:hAnsi="Verdana"/>
        </w:rPr>
        <w:t>(</w:t>
      </w:r>
      <w:r w:rsidRPr="00C07900">
        <w:rPr>
          <w:rFonts w:ascii="Verdana" w:hAnsi="Verdana"/>
        </w:rPr>
        <w:t xml:space="preserve">10 de </w:t>
      </w:r>
      <w:r w:rsidRPr="00C07900">
        <w:rPr>
          <w:rFonts w:ascii="Verdana" w:hAnsi="Verdana"/>
        </w:rPr>
        <w:t>julio</w:t>
      </w:r>
      <w:r w:rsidRPr="00C07900">
        <w:rPr>
          <w:rFonts w:ascii="Verdana" w:hAnsi="Verdana"/>
        </w:rPr>
        <w:t>)</w:t>
      </w:r>
    </w:p>
    <w:p w14:paraId="4A76748A" w14:textId="75505DB0" w:rsidR="000B4793" w:rsidRDefault="00C07900" w:rsidP="00C07900">
      <w:pPr>
        <w:jc w:val="center"/>
        <w:rPr>
          <w:rFonts w:ascii="Verdana" w:hAnsi="Verdana"/>
          <w:b/>
          <w:bCs/>
        </w:rPr>
      </w:pPr>
      <w:r w:rsidRPr="00C07900">
        <w:rPr>
          <w:rFonts w:ascii="Verdana" w:hAnsi="Verdana"/>
          <w:b/>
          <w:bCs/>
        </w:rPr>
        <w:t>INSTITUTO COLOMBIANO DE BIENESTAR FAMILIAR -ICBF</w:t>
      </w:r>
    </w:p>
    <w:p w14:paraId="27270E78" w14:textId="6AEE37AD" w:rsidR="00C07900" w:rsidRDefault="00C07900" w:rsidP="00C07900">
      <w:pPr>
        <w:jc w:val="center"/>
        <w:rPr>
          <w:rFonts w:ascii="Verdana" w:hAnsi="Verdana"/>
          <w:b/>
          <w:bCs/>
        </w:rPr>
      </w:pPr>
      <w:r w:rsidRPr="00C07900">
        <w:rPr>
          <w:rFonts w:ascii="Verdana" w:hAnsi="Verdana"/>
          <w:b/>
          <w:bCs/>
        </w:rPr>
        <w:t>MEMORANDO</w:t>
      </w:r>
    </w:p>
    <w:p w14:paraId="49AE4837" w14:textId="77777777" w:rsidR="00C07900" w:rsidRPr="00C07900" w:rsidRDefault="00C07900" w:rsidP="00C07900">
      <w:pPr>
        <w:jc w:val="both"/>
        <w:rPr>
          <w:rFonts w:ascii="Verdana" w:hAnsi="Verdana"/>
        </w:rPr>
      </w:pPr>
    </w:p>
    <w:p w14:paraId="3E153ED9" w14:textId="77777777" w:rsidR="00C07900" w:rsidRPr="00C07900" w:rsidRDefault="00C07900" w:rsidP="00C07900">
      <w:pPr>
        <w:jc w:val="both"/>
        <w:rPr>
          <w:rFonts w:ascii="Verdana" w:hAnsi="Verdana"/>
        </w:rPr>
      </w:pPr>
      <w:r w:rsidRPr="00C07900">
        <w:rPr>
          <w:rFonts w:ascii="Verdana" w:hAnsi="Verdana"/>
          <w:b/>
          <w:bCs/>
        </w:rPr>
        <w:t>PARA</w:t>
      </w:r>
      <w:r w:rsidRPr="00C07900">
        <w:rPr>
          <w:rFonts w:ascii="Verdana" w:hAnsi="Verdana"/>
        </w:rPr>
        <w:t>:</w:t>
      </w:r>
      <w:r w:rsidRPr="00C07900">
        <w:rPr>
          <w:rFonts w:ascii="Verdana" w:hAnsi="Verdana"/>
        </w:rPr>
        <w:tab/>
      </w:r>
      <w:proofErr w:type="gramStart"/>
      <w:r w:rsidRPr="00C07900">
        <w:rPr>
          <w:rFonts w:ascii="Verdana" w:hAnsi="Verdana"/>
        </w:rPr>
        <w:t>Jefe</w:t>
      </w:r>
      <w:proofErr w:type="gramEnd"/>
      <w:r w:rsidRPr="00C07900">
        <w:rPr>
          <w:rFonts w:ascii="Verdana" w:hAnsi="Verdana"/>
        </w:rPr>
        <w:t xml:space="preserve"> Oficina de Aseguramiento a la Calidad</w:t>
      </w:r>
    </w:p>
    <w:p w14:paraId="5018CEA4" w14:textId="77777777" w:rsidR="00C07900" w:rsidRPr="00C07900" w:rsidRDefault="00C07900" w:rsidP="00C07900">
      <w:pPr>
        <w:jc w:val="both"/>
        <w:rPr>
          <w:rFonts w:ascii="Verdana" w:hAnsi="Verdana"/>
        </w:rPr>
      </w:pPr>
      <w:r w:rsidRPr="00C07900">
        <w:rPr>
          <w:rFonts w:ascii="Verdana" w:hAnsi="Verdana"/>
          <w:b/>
          <w:bCs/>
        </w:rPr>
        <w:t>ASUNTO:</w:t>
      </w:r>
      <w:r w:rsidRPr="00C07900">
        <w:rPr>
          <w:rFonts w:ascii="Verdana" w:hAnsi="Verdana"/>
        </w:rPr>
        <w:tab/>
        <w:t>Aclaración a la Consulta con radicado No. 2014-011400-0101 del 19 de junio de 2014 respecto a si se puede celebrar contratos de aporte con entidades sin ánimo de lucro que cuentan con inscripción en Cámara y Comercio.</w:t>
      </w:r>
    </w:p>
    <w:p w14:paraId="62BC522D" w14:textId="77777777" w:rsidR="00C07900" w:rsidRPr="00C07900" w:rsidRDefault="00C07900" w:rsidP="00C07900">
      <w:pPr>
        <w:jc w:val="both"/>
        <w:rPr>
          <w:rFonts w:ascii="Verdana" w:hAnsi="Verdana"/>
        </w:rPr>
      </w:pPr>
      <w:r w:rsidRPr="00C07900">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da línea por parte de la Oficina Asesora Jurídica sobre el caso en cuestión, en los términos que siguen:</w:t>
      </w:r>
    </w:p>
    <w:p w14:paraId="7770DCC8" w14:textId="0B399C28" w:rsidR="00C07900" w:rsidRPr="00C07900" w:rsidRDefault="00C07900" w:rsidP="00C07900">
      <w:pPr>
        <w:jc w:val="both"/>
        <w:rPr>
          <w:rFonts w:ascii="Verdana" w:hAnsi="Verdana"/>
        </w:rPr>
      </w:pPr>
      <w:r w:rsidRPr="00C07900">
        <w:rPr>
          <w:rFonts w:ascii="Verdana" w:hAnsi="Verdana"/>
        </w:rPr>
        <w:t>Sea lo primero aclarar que la consulta elevada por la Oficina de Aseguramiento a la Calidad, estaba encaminada a preguntar únicamente si se pueden celebrar contratos de aporte con entidades sin ánimo de lucro que cuentan con inscripción en Cámara y Comercio, y de acuerdo a ello se dio respuesta expresa a lo consultado.</w:t>
      </w:r>
    </w:p>
    <w:p w14:paraId="18214391" w14:textId="3C285F18" w:rsidR="00C07900" w:rsidRPr="00C07900" w:rsidRDefault="00C07900" w:rsidP="00C07900">
      <w:pPr>
        <w:jc w:val="both"/>
        <w:rPr>
          <w:rFonts w:ascii="Verdana" w:hAnsi="Verdana"/>
        </w:rPr>
      </w:pPr>
      <w:r w:rsidRPr="00C07900">
        <w:rPr>
          <w:rFonts w:ascii="Verdana" w:hAnsi="Verdana"/>
        </w:rPr>
        <w:t>Ahora bien, en la aclaración, solicitan se indique que existen otras excepciones para contratar con instituciones sin ánimo de lucro, esto es, las personerías jurídicas que fueron otorgadas o reconocidas por los Ministerios y Entes Territoriales facultados para tal fin.</w:t>
      </w:r>
    </w:p>
    <w:p w14:paraId="118E4E8F" w14:textId="73D4F285" w:rsidR="00C07900" w:rsidRPr="00C07900" w:rsidRDefault="00C07900" w:rsidP="00C07900">
      <w:pPr>
        <w:jc w:val="both"/>
        <w:rPr>
          <w:rFonts w:ascii="Verdana" w:hAnsi="Verdana"/>
        </w:rPr>
      </w:pPr>
      <w:r w:rsidRPr="00C07900">
        <w:rPr>
          <w:rFonts w:ascii="Verdana" w:hAnsi="Verdana"/>
        </w:rPr>
        <w:t>Al respecto, es importante indicar que para realizar contratos de aporte con las instituciones de utilidad común que prestan servicios de bienestar familiar, como las Fundaciones, Asociaciones o Entidades de Utilidad Común e iniciativa privada que desarrollen actividades, relacionadas con la protección integral de los niños, niñas, adolescentes y la familia, se requiere el otorgamiento o reconocimiento de la personería jurídica por parte del ICBF.</w:t>
      </w:r>
    </w:p>
    <w:p w14:paraId="107B50A1" w14:textId="4B68D5E5" w:rsidR="00C07900" w:rsidRPr="00C07900" w:rsidRDefault="00C07900" w:rsidP="00C07900">
      <w:pPr>
        <w:jc w:val="both"/>
        <w:rPr>
          <w:rFonts w:ascii="Verdana" w:hAnsi="Verdana"/>
        </w:rPr>
      </w:pPr>
      <w:r w:rsidRPr="00C07900">
        <w:rPr>
          <w:rFonts w:ascii="Verdana" w:hAnsi="Verdana"/>
        </w:rPr>
        <w:t xml:space="preserve">Sin embargo, es importante tener en cuenta que existen excepciones a </w:t>
      </w:r>
      <w:proofErr w:type="gramStart"/>
      <w:r w:rsidRPr="00C07900">
        <w:rPr>
          <w:rFonts w:ascii="Verdana" w:hAnsi="Verdana"/>
        </w:rPr>
        <w:t>ésta</w:t>
      </w:r>
      <w:proofErr w:type="gramEnd"/>
      <w:r w:rsidRPr="00C07900">
        <w:rPr>
          <w:rFonts w:ascii="Verdana" w:hAnsi="Verdana"/>
        </w:rPr>
        <w:t xml:space="preserve"> regla. La primera de ellas tiene que ver con el hecho que mediante la Ley 20 de 1974, se aprobó el concordato suscrito entre Colombia y la Santa Sede, el cual señala que las actuaciones que hayan realizado las autoridades canónicas se vinculan a los derecho civiles en Colombia, razón por la cual las Personerías Jurídicas otorgadas por la autoridad católica competente, son plenamente válidas para nosotros y no se requeriría un otorgamiento o reconocimiento de Personería Jurídica para las instituciones de este régimen especial.</w:t>
      </w:r>
    </w:p>
    <w:p w14:paraId="1944F23A" w14:textId="0FE29C85" w:rsidR="00C07900" w:rsidRPr="00C07900" w:rsidRDefault="00C07900" w:rsidP="00C07900">
      <w:pPr>
        <w:jc w:val="both"/>
        <w:rPr>
          <w:rFonts w:ascii="Verdana" w:hAnsi="Verdana"/>
        </w:rPr>
      </w:pPr>
      <w:r w:rsidRPr="00C07900">
        <w:rPr>
          <w:rFonts w:ascii="Verdana" w:hAnsi="Verdana"/>
        </w:rPr>
        <w:lastRenderedPageBreak/>
        <w:t>Así las cosas, en este caso, independientemente que no se requiera reconocimiento de Personería Jurídica para estas instituciones, si debe verificarse que los estatutos se encuentren conformes a lo que señala el numeral 2 del artículo 7 de la Resolución 3899 de 2010, expedida por el ICBF.</w:t>
      </w:r>
    </w:p>
    <w:p w14:paraId="69858E4C" w14:textId="039B4421" w:rsidR="00C07900" w:rsidRPr="00C07900" w:rsidRDefault="00C07900" w:rsidP="00C07900">
      <w:pPr>
        <w:jc w:val="both"/>
        <w:rPr>
          <w:rFonts w:ascii="Verdana" w:hAnsi="Verdana"/>
        </w:rPr>
      </w:pPr>
      <w:r w:rsidRPr="00C07900">
        <w:rPr>
          <w:rFonts w:ascii="Verdana" w:hAnsi="Verdana"/>
        </w:rPr>
        <w:t>Otra excepción consiste que dentro de la transición de la derogatoria del Decreto 427 y la vigencia del Decreto 1422, durante el periodo del 5 de marzo de 1996 al 14 de agosto de 1996, se registraron en las cámaras de comercio instituciones de utilidad común o sin ánimo de lucro, sin que existiera de por medio técnicamente el otorgamiento o reconocimiento de personería jurídica, motivo por el cual a estas instituciones no se les exige este requisito para contratar.</w:t>
      </w:r>
    </w:p>
    <w:p w14:paraId="7610A1E1" w14:textId="76916719" w:rsidR="00C07900" w:rsidRPr="00C07900" w:rsidRDefault="00C07900" w:rsidP="00C07900">
      <w:pPr>
        <w:jc w:val="both"/>
        <w:rPr>
          <w:rFonts w:ascii="Verdana" w:hAnsi="Verdana"/>
        </w:rPr>
      </w:pPr>
      <w:r w:rsidRPr="00C07900">
        <w:rPr>
          <w:rFonts w:ascii="Verdana" w:hAnsi="Verdana"/>
        </w:rPr>
        <w:t>Finalmente, las Instituciones a las cuales les fueron reconocidas personerías, jurídicas por Ministerios y entes territoriales con anterioridad al Decreto 2150 de 1995 son jurídicamente válidas y por ello se pueden celebrar contratos de aporte con ellas.</w:t>
      </w:r>
    </w:p>
    <w:p w14:paraId="032AB422" w14:textId="432D245D" w:rsidR="00C07900" w:rsidRPr="00C07900" w:rsidRDefault="00C07900" w:rsidP="00C07900">
      <w:pPr>
        <w:jc w:val="both"/>
        <w:rPr>
          <w:rFonts w:ascii="Verdana" w:hAnsi="Verdana"/>
        </w:rPr>
      </w:pPr>
      <w:r w:rsidRPr="00C07900">
        <w:rPr>
          <w:rFonts w:ascii="Verdana" w:hAnsi="Verdana"/>
        </w:rPr>
        <w:t xml:space="preserve">Por último es preciso indicar que el presente </w:t>
      </w:r>
      <w:proofErr w:type="gramStart"/>
      <w:r w:rsidRPr="00C07900">
        <w:rPr>
          <w:rFonts w:ascii="Verdana" w:hAnsi="Verdana"/>
        </w:rPr>
        <w:t>concepto[</w:t>
      </w:r>
      <w:proofErr w:type="gramEnd"/>
      <w:r w:rsidRPr="00C07900">
        <w:rPr>
          <w:rFonts w:ascii="Verdana" w:hAnsi="Verdana"/>
        </w:rPr>
        <w:t xml:space="preserve">1]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C07900">
        <w:rPr>
          <w:rFonts w:ascii="Verdana" w:hAnsi="Verdana"/>
        </w:rPr>
        <w:t>obstante</w:t>
      </w:r>
      <w:proofErr w:type="gramEnd"/>
      <w:r w:rsidRPr="00C07900">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2B53AC2" w14:textId="35D8EE69" w:rsidR="00C07900" w:rsidRPr="00C07900" w:rsidRDefault="00C07900" w:rsidP="00C07900">
      <w:pPr>
        <w:jc w:val="both"/>
        <w:rPr>
          <w:rFonts w:ascii="Verdana" w:hAnsi="Verdana"/>
        </w:rPr>
      </w:pPr>
      <w:r w:rsidRPr="00C07900">
        <w:rPr>
          <w:rFonts w:ascii="Verdana" w:hAnsi="Verdana"/>
        </w:rPr>
        <w:t>Cordialmente,</w:t>
      </w:r>
    </w:p>
    <w:p w14:paraId="48E1E846" w14:textId="284910FB" w:rsidR="00C07900" w:rsidRPr="00C07900" w:rsidRDefault="00C07900" w:rsidP="00C07900">
      <w:pPr>
        <w:jc w:val="center"/>
        <w:rPr>
          <w:rFonts w:ascii="Verdana" w:hAnsi="Verdana"/>
          <w:b/>
          <w:bCs/>
        </w:rPr>
      </w:pPr>
      <w:r w:rsidRPr="00C07900">
        <w:rPr>
          <w:rFonts w:ascii="Verdana" w:hAnsi="Verdana"/>
          <w:b/>
          <w:bCs/>
        </w:rPr>
        <w:t>LUISA MARINA BALLESTEROS ARISTIZABAL</w:t>
      </w:r>
    </w:p>
    <w:p w14:paraId="01D29AE0" w14:textId="785ACF77" w:rsidR="00C07900" w:rsidRPr="00C07900" w:rsidRDefault="00C07900" w:rsidP="00C07900">
      <w:pPr>
        <w:jc w:val="center"/>
        <w:rPr>
          <w:rFonts w:ascii="Verdana" w:hAnsi="Verdana"/>
        </w:rPr>
      </w:pPr>
      <w:r w:rsidRPr="00C07900">
        <w:rPr>
          <w:rFonts w:ascii="Verdana" w:hAnsi="Verdana"/>
        </w:rPr>
        <w:t>JEFE OFICINA ASESORA JURÍDICA</w:t>
      </w:r>
    </w:p>
    <w:p w14:paraId="2694983A" w14:textId="4ED60A4E" w:rsidR="00C07900" w:rsidRPr="00C07900" w:rsidRDefault="00C07900" w:rsidP="00C07900">
      <w:pPr>
        <w:jc w:val="both"/>
        <w:rPr>
          <w:rFonts w:ascii="Verdana" w:hAnsi="Verdana"/>
        </w:rPr>
      </w:pPr>
      <w:r w:rsidRPr="00C07900">
        <w:rPr>
          <w:rFonts w:ascii="Verdana" w:hAnsi="Verdana"/>
        </w:rPr>
        <w:t>* * *</w:t>
      </w:r>
    </w:p>
    <w:p w14:paraId="4FDAC6C8" w14:textId="2DA0C1DA" w:rsidR="00C07900" w:rsidRPr="00C07900" w:rsidRDefault="00C07900" w:rsidP="00C07900">
      <w:pPr>
        <w:jc w:val="both"/>
        <w:rPr>
          <w:rFonts w:ascii="Verdana" w:hAnsi="Verdana"/>
        </w:rPr>
      </w:pPr>
      <w:r w:rsidRPr="00C07900">
        <w:rPr>
          <w:rFonts w:ascii="Verdana" w:hAnsi="Verdana"/>
        </w:rPr>
        <w:t xml:space="preserve">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w:t>
      </w:r>
      <w:r w:rsidRPr="00C07900">
        <w:rPr>
          <w:rFonts w:ascii="Verdana" w:hAnsi="Verdana"/>
        </w:rPr>
        <w:lastRenderedPageBreak/>
        <w:t xml:space="preserve">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C07900">
        <w:rPr>
          <w:rFonts w:ascii="Verdana" w:hAnsi="Verdana"/>
        </w:rPr>
        <w:t>Carbonel</w:t>
      </w:r>
      <w:proofErr w:type="spellEnd"/>
      <w:r w:rsidRPr="00C07900">
        <w:rPr>
          <w:rFonts w:ascii="Verdana" w:hAnsi="Verdana"/>
        </w:rPr>
        <w:t>.</w:t>
      </w:r>
    </w:p>
    <w:sectPr w:rsidR="00C07900" w:rsidRPr="00C079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00"/>
    <w:rsid w:val="000B4793"/>
    <w:rsid w:val="00C079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DC8B"/>
  <w15:chartTrackingRefBased/>
  <w15:docId w15:val="{EF97EDC5-5C3E-4659-91C1-1BBBC31B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BFA1F31F-7926-47D6-945B-0C373A16D868}"/>
</file>

<file path=customXml/itemProps2.xml><?xml version="1.0" encoding="utf-8"?>
<ds:datastoreItem xmlns:ds="http://schemas.openxmlformats.org/officeDocument/2006/customXml" ds:itemID="{5E1AE35B-2664-47B8-9810-ACA357753D53}"/>
</file>

<file path=customXml/itemProps3.xml><?xml version="1.0" encoding="utf-8"?>
<ds:datastoreItem xmlns:ds="http://schemas.openxmlformats.org/officeDocument/2006/customXml" ds:itemID="{A8AA87D6-34B0-4C73-A5CA-18BD7EC35326}"/>
</file>

<file path=docProps/app.xml><?xml version="1.0" encoding="utf-8"?>
<Properties xmlns="http://schemas.openxmlformats.org/officeDocument/2006/extended-properties" xmlns:vt="http://schemas.openxmlformats.org/officeDocument/2006/docPropsVTypes">
  <Template>Normal</Template>
  <TotalTime>2</TotalTime>
  <Pages>3</Pages>
  <Words>900</Words>
  <Characters>4952</Characters>
  <Application>Microsoft Office Word</Application>
  <DocSecurity>0</DocSecurity>
  <Lines>41</Lines>
  <Paragraphs>11</Paragraphs>
  <ScaleCrop>false</ScaleCrop>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2026-07-09T13:39:00Z</dcterms:created>
  <dcterms:modified xsi:type="dcterms:W3CDTF">2026-07-09T13:41:00Z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