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FC2C3" w14:textId="77777777" w:rsidR="00CB68E8" w:rsidRPr="00CB68E8" w:rsidRDefault="00CB68E8" w:rsidP="00CB68E8">
      <w:pPr>
        <w:jc w:val="center"/>
        <w:rPr>
          <w:rFonts w:ascii="Verdana" w:hAnsi="Verdana"/>
          <w:sz w:val="22"/>
          <w:szCs w:val="22"/>
        </w:rPr>
      </w:pPr>
      <w:r w:rsidRPr="00CB68E8">
        <w:rPr>
          <w:rFonts w:ascii="Verdana" w:hAnsi="Verdana"/>
          <w:b/>
          <w:bCs/>
          <w:sz w:val="22"/>
          <w:szCs w:val="22"/>
        </w:rPr>
        <w:t>CONCEPTO 81 DE 2016</w:t>
      </w:r>
    </w:p>
    <w:p w14:paraId="2B2F80B1" w14:textId="77777777" w:rsidR="00CB68E8" w:rsidRPr="00CB68E8" w:rsidRDefault="00CB68E8" w:rsidP="00CB68E8">
      <w:pPr>
        <w:jc w:val="center"/>
        <w:rPr>
          <w:rFonts w:ascii="Verdana" w:hAnsi="Verdana"/>
          <w:sz w:val="22"/>
          <w:szCs w:val="22"/>
        </w:rPr>
      </w:pPr>
      <w:r w:rsidRPr="00CB68E8">
        <w:rPr>
          <w:rFonts w:ascii="Verdana" w:hAnsi="Verdana"/>
          <w:sz w:val="22"/>
          <w:szCs w:val="22"/>
        </w:rPr>
        <w:t>(julio 15)</w:t>
      </w:r>
    </w:p>
    <w:p w14:paraId="48D648FC" w14:textId="77777777" w:rsidR="00CB68E8" w:rsidRPr="00CB68E8" w:rsidRDefault="00CB68E8" w:rsidP="00CB68E8">
      <w:pPr>
        <w:jc w:val="center"/>
        <w:rPr>
          <w:rFonts w:ascii="Verdana" w:hAnsi="Verdana"/>
          <w:sz w:val="22"/>
          <w:szCs w:val="22"/>
        </w:rPr>
      </w:pPr>
      <w:r w:rsidRPr="00CB68E8">
        <w:rPr>
          <w:rFonts w:ascii="Verdana" w:hAnsi="Verdana"/>
          <w:b/>
          <w:bCs/>
          <w:sz w:val="22"/>
          <w:szCs w:val="22"/>
        </w:rPr>
        <w:t>INSTITUTO COLOMBIANO DE BIENESTAR FAMILIAR</w:t>
      </w:r>
    </w:p>
    <w:p w14:paraId="2D1B294E" w14:textId="77777777" w:rsidR="00CB68E8" w:rsidRDefault="00CB68E8" w:rsidP="00CB68E8">
      <w:pPr>
        <w:jc w:val="both"/>
        <w:rPr>
          <w:rFonts w:ascii="Verdana" w:hAnsi="Verdana"/>
          <w:sz w:val="22"/>
          <w:szCs w:val="22"/>
        </w:rPr>
      </w:pPr>
    </w:p>
    <w:p w14:paraId="47D9DF07" w14:textId="75C1F684" w:rsidR="00CB68E8" w:rsidRDefault="00CB68E8" w:rsidP="00CB68E8">
      <w:pPr>
        <w:jc w:val="both"/>
        <w:rPr>
          <w:rFonts w:ascii="Verdana" w:hAnsi="Verdana"/>
          <w:sz w:val="22"/>
          <w:szCs w:val="22"/>
        </w:rPr>
      </w:pPr>
      <w:r w:rsidRPr="00CB68E8">
        <w:rPr>
          <w:rFonts w:ascii="Verdana" w:hAnsi="Verdana"/>
          <w:b/>
          <w:bCs/>
          <w:sz w:val="22"/>
          <w:szCs w:val="22"/>
        </w:rPr>
        <w:t>ASUNTO:</w:t>
      </w:r>
      <w:r>
        <w:rPr>
          <w:rFonts w:ascii="Verdana" w:hAnsi="Verdana"/>
          <w:sz w:val="22"/>
          <w:szCs w:val="22"/>
        </w:rPr>
        <w:t xml:space="preserve"> </w:t>
      </w:r>
      <w:r w:rsidRPr="00CB68E8">
        <w:rPr>
          <w:rFonts w:ascii="Verdana" w:hAnsi="Verdana"/>
          <w:sz w:val="22"/>
          <w:szCs w:val="22"/>
        </w:rPr>
        <w:t>Su consulta con radicado del ICBF No. 331459 del 13/07/2016</w:t>
      </w:r>
    </w:p>
    <w:p w14:paraId="4B26CD7A" w14:textId="0BE9BAFC" w:rsidR="00CB68E8" w:rsidRDefault="00CB68E8" w:rsidP="00CB68E8">
      <w:pPr>
        <w:jc w:val="both"/>
        <w:rPr>
          <w:rFonts w:ascii="Verdana" w:hAnsi="Verdana"/>
          <w:sz w:val="22"/>
          <w:szCs w:val="22"/>
        </w:rPr>
      </w:pPr>
      <w:r w:rsidRPr="00CB68E8">
        <w:rPr>
          <w:rFonts w:ascii="Verdana" w:hAnsi="Verdana"/>
          <w:b/>
          <w:bCs/>
          <w:sz w:val="22"/>
          <w:szCs w:val="22"/>
        </w:rPr>
        <w:t>PARA:</w:t>
      </w:r>
      <w:r>
        <w:rPr>
          <w:rFonts w:ascii="Verdana" w:hAnsi="Verdana"/>
          <w:b/>
          <w:bCs/>
          <w:sz w:val="22"/>
          <w:szCs w:val="22"/>
        </w:rPr>
        <w:t xml:space="preserve"> </w:t>
      </w:r>
      <w:r w:rsidRPr="00CB68E8">
        <w:rPr>
          <w:rFonts w:ascii="Verdana" w:hAnsi="Verdana"/>
          <w:sz w:val="22"/>
          <w:szCs w:val="22"/>
        </w:rPr>
        <w:t>Defensor de Familia - Centro Zonal Noroccidental Medellín</w:t>
      </w:r>
      <w:r>
        <w:rPr>
          <w:rFonts w:ascii="Verdana" w:hAnsi="Verdana"/>
          <w:sz w:val="22"/>
          <w:szCs w:val="22"/>
        </w:rPr>
        <w:t xml:space="preserve">  </w:t>
      </w:r>
      <w:r w:rsidRPr="00CB68E8">
        <w:rPr>
          <w:rFonts w:ascii="Verdana" w:hAnsi="Verdana"/>
          <w:sz w:val="22"/>
          <w:szCs w:val="22"/>
        </w:rPr>
        <w:t>ICBF Regional Antioquia</w:t>
      </w:r>
    </w:p>
    <w:p w14:paraId="4B995D4A" w14:textId="0D81CE74" w:rsidR="00CB68E8" w:rsidRPr="00CB68E8" w:rsidRDefault="00CB68E8" w:rsidP="00CB68E8">
      <w:pPr>
        <w:jc w:val="both"/>
        <w:rPr>
          <w:rFonts w:ascii="Verdana" w:hAnsi="Verdana"/>
          <w:sz w:val="22"/>
          <w:szCs w:val="22"/>
        </w:rPr>
      </w:pPr>
      <w:r w:rsidRPr="00CB68E8">
        <w:rPr>
          <w:rFonts w:ascii="Verdana" w:hAnsi="Verdana"/>
          <w:sz w:val="22"/>
          <w:szCs w:val="22"/>
        </w:rPr>
        <w:t>De manera atenta, en relación con el asunto de la referencia, en los términos previstos en el artículo 26 del Código Civil, Ley 1755 de 2015, así como en el artículo 6o, numeral 4o, del Decreto 987 de 2012, se responde la solicitud de concepto definitivo sobre el caso en cuestión, en los términos que siguen:</w:t>
      </w:r>
    </w:p>
    <w:p w14:paraId="559CB706" w14:textId="675F2392" w:rsidR="00CB68E8" w:rsidRPr="00CB68E8" w:rsidRDefault="00CB68E8" w:rsidP="00CB68E8">
      <w:pPr>
        <w:pStyle w:val="Prrafodelista"/>
        <w:numPr>
          <w:ilvl w:val="0"/>
          <w:numId w:val="4"/>
        </w:numPr>
        <w:jc w:val="both"/>
        <w:rPr>
          <w:rFonts w:ascii="Verdana" w:hAnsi="Verdana"/>
          <w:sz w:val="22"/>
          <w:szCs w:val="22"/>
        </w:rPr>
      </w:pPr>
      <w:r w:rsidRPr="00CB68E8">
        <w:rPr>
          <w:rFonts w:ascii="Verdana" w:hAnsi="Verdana"/>
          <w:b/>
          <w:bCs/>
          <w:sz w:val="22"/>
          <w:szCs w:val="22"/>
        </w:rPr>
        <w:t>PROBLEMA JURÍDICO</w:t>
      </w:r>
    </w:p>
    <w:p w14:paraId="78264488" w14:textId="77777777" w:rsidR="00CB68E8" w:rsidRPr="00CB68E8" w:rsidRDefault="00CB68E8" w:rsidP="00CB68E8">
      <w:pPr>
        <w:jc w:val="both"/>
        <w:rPr>
          <w:rFonts w:ascii="Verdana" w:hAnsi="Verdana"/>
          <w:sz w:val="22"/>
          <w:szCs w:val="22"/>
        </w:rPr>
      </w:pPr>
      <w:r w:rsidRPr="00CB68E8">
        <w:rPr>
          <w:rFonts w:ascii="Verdana" w:hAnsi="Verdana"/>
          <w:i/>
          <w:iCs/>
          <w:sz w:val="22"/>
          <w:szCs w:val="22"/>
        </w:rPr>
        <w:t>¿Se requiere de una nueva autorización para salir del país de un niño, niña o adolescente que tiene residencia en el exterior, cuando ya se le ha concedido un permiso por parte del Defensor de Familia por el desconocimiento del paradero del padre?</w:t>
      </w:r>
    </w:p>
    <w:p w14:paraId="6F201010" w14:textId="7BE0951D" w:rsidR="00CB68E8" w:rsidRPr="00CB68E8" w:rsidRDefault="00CB68E8" w:rsidP="00CB68E8">
      <w:pPr>
        <w:pStyle w:val="Prrafodelista"/>
        <w:numPr>
          <w:ilvl w:val="0"/>
          <w:numId w:val="4"/>
        </w:numPr>
        <w:jc w:val="both"/>
        <w:rPr>
          <w:rFonts w:ascii="Verdana" w:hAnsi="Verdana"/>
          <w:sz w:val="22"/>
          <w:szCs w:val="22"/>
        </w:rPr>
      </w:pPr>
      <w:r w:rsidRPr="00CB68E8">
        <w:rPr>
          <w:rFonts w:ascii="Verdana" w:hAnsi="Verdana"/>
          <w:b/>
          <w:bCs/>
          <w:sz w:val="22"/>
          <w:szCs w:val="22"/>
        </w:rPr>
        <w:t>ANÁLISIS DEL PROBLEMA JURÍDICO</w:t>
      </w:r>
    </w:p>
    <w:p w14:paraId="3C151CFD" w14:textId="77777777" w:rsidR="00CB68E8" w:rsidRPr="00CB68E8" w:rsidRDefault="00CB68E8" w:rsidP="00CB68E8">
      <w:pPr>
        <w:jc w:val="both"/>
        <w:rPr>
          <w:rFonts w:ascii="Verdana" w:hAnsi="Verdana"/>
          <w:sz w:val="22"/>
          <w:szCs w:val="22"/>
        </w:rPr>
      </w:pPr>
      <w:r w:rsidRPr="00CB68E8">
        <w:rPr>
          <w:rFonts w:ascii="Verdana" w:hAnsi="Verdana"/>
          <w:sz w:val="22"/>
          <w:szCs w:val="22"/>
        </w:rPr>
        <w:t>Metodológicamente, 2.1. El permiso de salida del país; 2.2. Intervención del Defensor de Familia para autorizar la salida del país a menores de edad; 2.2. El caso en concreto.</w:t>
      </w:r>
    </w:p>
    <w:p w14:paraId="1105F466" w14:textId="77777777" w:rsidR="00CB68E8" w:rsidRPr="00CB68E8" w:rsidRDefault="00CB68E8" w:rsidP="00CB68E8">
      <w:pPr>
        <w:jc w:val="both"/>
        <w:rPr>
          <w:rFonts w:ascii="Verdana" w:hAnsi="Verdana"/>
          <w:sz w:val="22"/>
          <w:szCs w:val="22"/>
        </w:rPr>
      </w:pPr>
      <w:r w:rsidRPr="00CB68E8">
        <w:rPr>
          <w:rFonts w:ascii="Verdana" w:hAnsi="Verdana"/>
          <w:b/>
          <w:bCs/>
          <w:sz w:val="22"/>
          <w:szCs w:val="22"/>
        </w:rPr>
        <w:t>2.1. </w:t>
      </w:r>
      <w:r w:rsidRPr="00CB68E8">
        <w:rPr>
          <w:rFonts w:ascii="Verdana" w:hAnsi="Verdana"/>
          <w:b/>
          <w:bCs/>
          <w:sz w:val="22"/>
          <w:szCs w:val="22"/>
          <w:u w:val="single"/>
        </w:rPr>
        <w:t>El permiso de salida del país</w:t>
      </w:r>
    </w:p>
    <w:p w14:paraId="2C7DA268" w14:textId="77777777" w:rsidR="00CB68E8" w:rsidRPr="00CB68E8" w:rsidRDefault="00CB68E8" w:rsidP="00CB68E8">
      <w:pPr>
        <w:jc w:val="both"/>
        <w:rPr>
          <w:rFonts w:ascii="Verdana" w:hAnsi="Verdana"/>
          <w:sz w:val="22"/>
          <w:szCs w:val="22"/>
        </w:rPr>
      </w:pPr>
      <w:r w:rsidRPr="00CB68E8">
        <w:rPr>
          <w:rFonts w:ascii="Verdana" w:hAnsi="Verdana"/>
          <w:sz w:val="22"/>
          <w:szCs w:val="22"/>
        </w:rPr>
        <w:t>El permiso de salida del país es una facultad que la ley confiere a los representantes legales del menor de edad </w:t>
      </w:r>
      <w:r w:rsidRPr="00CB68E8">
        <w:rPr>
          <w:rFonts w:ascii="Verdana" w:hAnsi="Verdana"/>
          <w:b/>
          <w:bCs/>
          <w:sz w:val="22"/>
          <w:szCs w:val="22"/>
        </w:rPr>
        <w:t>conjuntamente, </w:t>
      </w:r>
      <w:r w:rsidRPr="00CB68E8">
        <w:rPr>
          <w:rFonts w:ascii="Verdana" w:hAnsi="Verdana"/>
          <w:sz w:val="22"/>
          <w:szCs w:val="22"/>
        </w:rPr>
        <w:t>es decir, que se requiere de la autorización de los dos padres, en el evento en que el niño, niña o adolescente pretenda salir con un tercero, o de uno de ellos si el otro no viaja, independientemente de cuál sea la razón para ello, y es en esencia el ejercicio de la representación legal en una figura derivada de la patria potestad.</w:t>
      </w:r>
    </w:p>
    <w:p w14:paraId="6ACC2FD8" w14:textId="77777777" w:rsidR="00CB68E8" w:rsidRPr="00CB68E8" w:rsidRDefault="00CB68E8" w:rsidP="00CB68E8">
      <w:pPr>
        <w:jc w:val="both"/>
        <w:rPr>
          <w:rFonts w:ascii="Verdana" w:hAnsi="Verdana"/>
          <w:sz w:val="22"/>
          <w:szCs w:val="22"/>
        </w:rPr>
      </w:pPr>
      <w:r w:rsidRPr="00CB68E8">
        <w:rPr>
          <w:rFonts w:ascii="Verdana" w:hAnsi="Verdana"/>
          <w:b/>
          <w:bCs/>
          <w:sz w:val="22"/>
          <w:szCs w:val="22"/>
        </w:rPr>
        <w:t>2.2. Intervención del Defensor de Familia para autorizar la salida del País a menores de edad.</w:t>
      </w:r>
    </w:p>
    <w:p w14:paraId="365456EC" w14:textId="7AEDA698" w:rsidR="00CB68E8" w:rsidRPr="00CB68E8" w:rsidRDefault="00CB68E8" w:rsidP="00CB68E8">
      <w:pPr>
        <w:jc w:val="both"/>
        <w:rPr>
          <w:rFonts w:ascii="Verdana" w:hAnsi="Verdana"/>
          <w:sz w:val="22"/>
          <w:szCs w:val="22"/>
        </w:rPr>
      </w:pPr>
      <w:r w:rsidRPr="00CB68E8">
        <w:rPr>
          <w:rFonts w:ascii="Verdana" w:hAnsi="Verdana"/>
          <w:sz w:val="22"/>
          <w:szCs w:val="22"/>
        </w:rPr>
        <w:t>Cuando uno de los padres se encuentra ausente y no puede manifestar su asentimiento, o no está en condiciones de hacerlo, o se desconoce su paradero, debe acudirse ante el Defensor de Familia competente para que, luego de agotado el procedimiento previsto en el artículo 110 del Código de Infancia y Adolescencia, conceda el respectivo permiso.</w:t>
      </w:r>
    </w:p>
    <w:p w14:paraId="5C977379" w14:textId="3F07965F" w:rsidR="00CB68E8" w:rsidRPr="00CB68E8" w:rsidRDefault="00CB68E8" w:rsidP="00CB68E8">
      <w:pPr>
        <w:jc w:val="both"/>
        <w:rPr>
          <w:rFonts w:ascii="Verdana" w:hAnsi="Verdana"/>
          <w:sz w:val="22"/>
          <w:szCs w:val="22"/>
        </w:rPr>
      </w:pPr>
      <w:r w:rsidRPr="00CB68E8">
        <w:rPr>
          <w:rFonts w:ascii="Verdana" w:hAnsi="Verdana"/>
          <w:sz w:val="22"/>
          <w:szCs w:val="22"/>
        </w:rPr>
        <w:lastRenderedPageBreak/>
        <w:t>En efecto, en artículo 110 de la ley 1098 de 2006 prevé que:</w:t>
      </w:r>
    </w:p>
    <w:p w14:paraId="3935DDB2" w14:textId="77777777" w:rsidR="00CB68E8" w:rsidRPr="00CB68E8" w:rsidRDefault="00CB68E8" w:rsidP="00CB68E8">
      <w:pPr>
        <w:jc w:val="both"/>
        <w:rPr>
          <w:rFonts w:ascii="Verdana" w:hAnsi="Verdana"/>
          <w:sz w:val="22"/>
          <w:szCs w:val="22"/>
        </w:rPr>
      </w:pPr>
      <w:r w:rsidRPr="00CB68E8">
        <w:rPr>
          <w:rFonts w:ascii="Verdana" w:hAnsi="Verdana"/>
          <w:i/>
          <w:iCs/>
          <w:sz w:val="22"/>
          <w:szCs w:val="22"/>
        </w:rPr>
        <w:t>"La autorización del Defensor de Familia para la salida del país de un niño, niña o adolescente, </w:t>
      </w:r>
      <w:r w:rsidRPr="00CB68E8">
        <w:rPr>
          <w:rFonts w:ascii="Verdana" w:hAnsi="Verdana"/>
          <w:b/>
          <w:bCs/>
          <w:i/>
          <w:iCs/>
          <w:sz w:val="22"/>
          <w:szCs w:val="22"/>
        </w:rPr>
        <w:t>cuando carezca de representante legal, se desconozca su paradero o no se encuentre en condiciones de otorgarlo</w:t>
      </w:r>
      <w:r w:rsidRPr="00CB68E8">
        <w:rPr>
          <w:rFonts w:ascii="Verdana" w:hAnsi="Verdana"/>
          <w:i/>
          <w:iCs/>
          <w:sz w:val="22"/>
          <w:szCs w:val="22"/>
        </w:rPr>
        <w:t>, se sujetará a las siguientes reglas:</w:t>
      </w:r>
    </w:p>
    <w:p w14:paraId="6286CF5A" w14:textId="77777777" w:rsidR="00CB68E8" w:rsidRPr="00CB68E8" w:rsidRDefault="00CB68E8" w:rsidP="00CB68E8">
      <w:pPr>
        <w:jc w:val="both"/>
        <w:rPr>
          <w:rFonts w:ascii="Verdana" w:hAnsi="Verdana"/>
          <w:sz w:val="22"/>
          <w:szCs w:val="22"/>
        </w:rPr>
      </w:pPr>
      <w:r w:rsidRPr="00CB68E8">
        <w:rPr>
          <w:rFonts w:ascii="Verdana" w:hAnsi="Verdana"/>
          <w:i/>
          <w:iCs/>
          <w:sz w:val="22"/>
          <w:szCs w:val="22"/>
        </w:rPr>
        <w:t>(…)</w:t>
      </w:r>
    </w:p>
    <w:p w14:paraId="68CD99CB" w14:textId="77777777" w:rsidR="00CB68E8" w:rsidRPr="00CB68E8" w:rsidRDefault="00CB68E8" w:rsidP="00CB68E8">
      <w:pPr>
        <w:jc w:val="both"/>
        <w:rPr>
          <w:rFonts w:ascii="Verdana" w:hAnsi="Verdana"/>
          <w:sz w:val="22"/>
          <w:szCs w:val="22"/>
        </w:rPr>
      </w:pPr>
      <w:r w:rsidRPr="00CB68E8">
        <w:rPr>
          <w:rFonts w:ascii="Verdana" w:hAnsi="Verdana"/>
          <w:b/>
          <w:bCs/>
          <w:i/>
          <w:iCs/>
          <w:sz w:val="22"/>
          <w:szCs w:val="22"/>
          <w:u w:val="single"/>
        </w:rPr>
        <w:t>PARÁGRAFO 3. Los menores de edad con residencia en el exterior y que hayan obtenido permiso para salir del País por una de las tres circunstancias enunciadas en el inciso primero de este artículo, no requerirán de nueva autorización para salir del país, cuando decidan volver a este.</w:t>
      </w:r>
      <w:r w:rsidRPr="00CB68E8">
        <w:rPr>
          <w:rFonts w:ascii="Verdana" w:hAnsi="Verdana"/>
          <w:sz w:val="22"/>
          <w:szCs w:val="22"/>
        </w:rPr>
        <w:t> (Se subraya para destacar).</w:t>
      </w:r>
    </w:p>
    <w:p w14:paraId="3291E261" w14:textId="657080A4" w:rsidR="00CB68E8" w:rsidRPr="00CB68E8" w:rsidRDefault="00CB68E8" w:rsidP="00CB68E8">
      <w:pPr>
        <w:jc w:val="both"/>
        <w:rPr>
          <w:rFonts w:ascii="Verdana" w:hAnsi="Verdana"/>
          <w:sz w:val="22"/>
          <w:szCs w:val="22"/>
        </w:rPr>
      </w:pPr>
      <w:r w:rsidRPr="00CB68E8">
        <w:rPr>
          <w:rFonts w:ascii="Verdana" w:hAnsi="Verdana"/>
          <w:sz w:val="22"/>
          <w:szCs w:val="22"/>
        </w:rPr>
        <w:t>El artículo 110 del Código de la Infancia y la Adolescencia determina que cuando un niño, niña o adolescente vaya a salir del País con uno de los padres o con una persona distinta a los representantes legales deberá obtener previamente el permiso de aquel con quien no viajare o el de aquellos, debidamente autenticado ante notario o autoridad consular. Dicho permiso deberá contener el lugar de destino, el propósito del viaje y la fecha de salida e ingreso de nuevo al País.</w:t>
      </w:r>
    </w:p>
    <w:p w14:paraId="21A670B7" w14:textId="7463FCC0" w:rsidR="00CB68E8" w:rsidRPr="00CB68E8" w:rsidRDefault="00CB68E8" w:rsidP="00CB68E8">
      <w:pPr>
        <w:jc w:val="both"/>
        <w:rPr>
          <w:rFonts w:ascii="Verdana" w:hAnsi="Verdana"/>
          <w:sz w:val="22"/>
          <w:szCs w:val="22"/>
        </w:rPr>
      </w:pPr>
      <w:r w:rsidRPr="00CB68E8">
        <w:rPr>
          <w:rFonts w:ascii="Verdana" w:hAnsi="Verdana"/>
          <w:sz w:val="22"/>
          <w:szCs w:val="22"/>
        </w:rPr>
        <w:t>El artículo 226 del Decreto Ley 19 de 2012 adicionó el parágrafo 3o a dicho artículo de forma tal que a partir de la entrada en vigencia del Decreto, los menores de edad con residencia en el exterior no se requerirán de una nueva autorización para salir del País, cuando decidan volver a este, siempre y cuando hayan obtenido el permiso por el Defensor de Familia competente por las razones contenidas en el artículo 110 del Código de la Infancia y la Adolescencia.</w:t>
      </w:r>
    </w:p>
    <w:p w14:paraId="093EEF48" w14:textId="5F542E97" w:rsidR="00CB68E8" w:rsidRPr="00CB68E8" w:rsidRDefault="00CB68E8" w:rsidP="00CB68E8">
      <w:pPr>
        <w:jc w:val="both"/>
        <w:rPr>
          <w:rFonts w:ascii="Verdana" w:hAnsi="Verdana"/>
          <w:sz w:val="22"/>
          <w:szCs w:val="22"/>
        </w:rPr>
      </w:pPr>
      <w:r w:rsidRPr="00CB68E8">
        <w:rPr>
          <w:rFonts w:ascii="Verdana" w:hAnsi="Verdana"/>
          <w:sz w:val="22"/>
          <w:szCs w:val="22"/>
        </w:rPr>
        <w:t>En consecuencia el Decreto Ley 19 de 2012 adicionó el procedimiento establecido para la autorización de salida del País contenida en el artículo 110 de la Ley 1098 de 2006; tratándose de una norma con rango de ley, emanada por el poder ejecutivo, cuyo objeto es facilitar la actividad de las personas naturales y jurídicas ante las autoridades que cumplen funciones administrativas, racionalizando los </w:t>
      </w:r>
      <w:r w:rsidRPr="00CB68E8">
        <w:rPr>
          <w:rFonts w:ascii="Verdana" w:hAnsi="Verdana"/>
          <w:b/>
          <w:bCs/>
          <w:sz w:val="22"/>
          <w:szCs w:val="22"/>
        </w:rPr>
        <w:t>trámites innecesarios </w:t>
      </w:r>
      <w:r w:rsidRPr="00CB68E8">
        <w:rPr>
          <w:rFonts w:ascii="Verdana" w:hAnsi="Verdana"/>
          <w:sz w:val="22"/>
          <w:szCs w:val="22"/>
        </w:rPr>
        <w:t>existentes en la Administración Pública.</w:t>
      </w:r>
    </w:p>
    <w:p w14:paraId="4E6E459E" w14:textId="77777777" w:rsidR="00CB68E8" w:rsidRPr="00CB68E8" w:rsidRDefault="00CB68E8" w:rsidP="00CB68E8">
      <w:pPr>
        <w:jc w:val="both"/>
        <w:rPr>
          <w:rFonts w:ascii="Verdana" w:hAnsi="Verdana"/>
          <w:sz w:val="22"/>
          <w:szCs w:val="22"/>
        </w:rPr>
      </w:pPr>
      <w:r w:rsidRPr="00CB68E8">
        <w:rPr>
          <w:rFonts w:ascii="Verdana" w:hAnsi="Verdana"/>
          <w:b/>
          <w:bCs/>
          <w:sz w:val="22"/>
          <w:szCs w:val="22"/>
        </w:rPr>
        <w:t>2.3 El caso en concreto.</w:t>
      </w:r>
    </w:p>
    <w:p w14:paraId="77719B88" w14:textId="01E20AF4" w:rsidR="00CB68E8" w:rsidRPr="00CB68E8" w:rsidRDefault="00CB68E8" w:rsidP="00CB68E8">
      <w:pPr>
        <w:jc w:val="both"/>
        <w:rPr>
          <w:rFonts w:ascii="Verdana" w:hAnsi="Verdana"/>
          <w:sz w:val="22"/>
          <w:szCs w:val="22"/>
        </w:rPr>
      </w:pPr>
      <w:r w:rsidRPr="00CB68E8">
        <w:rPr>
          <w:rFonts w:ascii="Verdana" w:hAnsi="Verdana"/>
          <w:sz w:val="22"/>
          <w:szCs w:val="22"/>
        </w:rPr>
        <w:t xml:space="preserve">Ante la negativa de Migración Colombia para dar cumplimiento a lo dispuesto en el parágrafo 3 del artículo 110 de la Ley 1098 de 2006, la Constitución Política prevé como mecanismo para exigir su cumplimiento la acción de cumplimiento, cuyo objeto y finalidad es la de otorgarle a toda persona, natural o jurídica, e incluso a los servidores públicos, la posibilidad de acudir ante la autoridad judicial para exigir la realización o el cumplimiento del deber que surge de la ley o del </w:t>
      </w:r>
      <w:r w:rsidRPr="00CB68E8">
        <w:rPr>
          <w:rFonts w:ascii="Verdana" w:hAnsi="Verdana"/>
          <w:sz w:val="22"/>
          <w:szCs w:val="22"/>
        </w:rPr>
        <w:lastRenderedPageBreak/>
        <w:t>acto administrativo y que es omitido por la autoridad, o el particular cuando asume este carácter.</w:t>
      </w:r>
    </w:p>
    <w:p w14:paraId="5C68A824" w14:textId="77777777" w:rsidR="00CB68E8" w:rsidRPr="00CB68E8" w:rsidRDefault="00CB68E8" w:rsidP="00CB68E8">
      <w:pPr>
        <w:jc w:val="both"/>
        <w:rPr>
          <w:rFonts w:ascii="Verdana" w:hAnsi="Verdana"/>
          <w:sz w:val="22"/>
          <w:szCs w:val="22"/>
        </w:rPr>
      </w:pPr>
      <w:r w:rsidRPr="00CB68E8">
        <w:rPr>
          <w:rFonts w:ascii="Verdana" w:hAnsi="Verdana"/>
          <w:sz w:val="22"/>
          <w:szCs w:val="22"/>
        </w:rPr>
        <w:t>No obstante, si se advierte la vulneración de derechos fundamentales del niño, niña o adolescente, la vía más expedita para su garantía es la acción de tutela.</w:t>
      </w:r>
    </w:p>
    <w:p w14:paraId="3607511C" w14:textId="77777777" w:rsidR="00CB68E8" w:rsidRPr="00CB68E8" w:rsidRDefault="00CB68E8" w:rsidP="00CB68E8">
      <w:pPr>
        <w:jc w:val="both"/>
        <w:rPr>
          <w:rFonts w:ascii="Verdana" w:hAnsi="Verdana"/>
          <w:sz w:val="22"/>
          <w:szCs w:val="22"/>
        </w:rPr>
      </w:pPr>
      <w:r w:rsidRPr="00CB68E8">
        <w:rPr>
          <w:rFonts w:ascii="Verdana" w:hAnsi="Verdana"/>
          <w:sz w:val="22"/>
          <w:szCs w:val="22"/>
        </w:rPr>
        <w:t>La acción de tutela está prevista en la Constitución Política como un mecanismo para proteger de forma inmediata y efectiva los derechos fundamentales de las personas, cuando estos, fueren desconocidos o amenazados por cualquier autoridad pública, excepto si el titular de los derechos tiene la posibilidad de hacerlos valer por otros medios legales, salvo que aquélla se utilice como mecanismo transitorio para evitar un perjuicio irremediable.</w:t>
      </w:r>
    </w:p>
    <w:p w14:paraId="51BF6574" w14:textId="77777777" w:rsidR="00CB68E8" w:rsidRPr="00CB68E8" w:rsidRDefault="00CB68E8" w:rsidP="00CB68E8">
      <w:pPr>
        <w:jc w:val="both"/>
        <w:rPr>
          <w:rFonts w:ascii="Verdana" w:hAnsi="Verdana"/>
          <w:sz w:val="22"/>
          <w:szCs w:val="22"/>
        </w:rPr>
      </w:pPr>
      <w:r w:rsidRPr="00CB68E8">
        <w:rPr>
          <w:rFonts w:ascii="Verdana" w:hAnsi="Verdana"/>
          <w:sz w:val="22"/>
          <w:szCs w:val="22"/>
        </w:rPr>
        <w:t>Por lo tanto, la autoridad administrativa competente deberá establecer en atención al caso en particular, cuál de los anteriores mecanismos es el más idóneo para la defensa de los derechos de los niños, niñas y adolescentes.</w:t>
      </w:r>
    </w:p>
    <w:p w14:paraId="36A3FB84" w14:textId="0296E402" w:rsidR="00CB68E8" w:rsidRPr="00CB68E8" w:rsidRDefault="00CB68E8" w:rsidP="00CB68E8">
      <w:pPr>
        <w:pStyle w:val="Prrafodelista"/>
        <w:numPr>
          <w:ilvl w:val="0"/>
          <w:numId w:val="4"/>
        </w:numPr>
        <w:jc w:val="both"/>
        <w:rPr>
          <w:rFonts w:ascii="Verdana" w:hAnsi="Verdana"/>
          <w:sz w:val="22"/>
          <w:szCs w:val="22"/>
        </w:rPr>
      </w:pPr>
      <w:r w:rsidRPr="00CB68E8">
        <w:rPr>
          <w:rFonts w:ascii="Verdana" w:hAnsi="Verdana"/>
          <w:b/>
          <w:bCs/>
          <w:sz w:val="22"/>
          <w:szCs w:val="22"/>
        </w:rPr>
        <w:t>CONCLUSIÓN</w:t>
      </w:r>
    </w:p>
    <w:p w14:paraId="4BF4D1C4" w14:textId="77777777" w:rsidR="00CB68E8" w:rsidRPr="00CB68E8" w:rsidRDefault="00CB68E8" w:rsidP="00CB68E8">
      <w:pPr>
        <w:jc w:val="both"/>
        <w:rPr>
          <w:rFonts w:ascii="Verdana" w:hAnsi="Verdana"/>
          <w:sz w:val="22"/>
          <w:szCs w:val="22"/>
        </w:rPr>
      </w:pPr>
      <w:r w:rsidRPr="00CB68E8">
        <w:rPr>
          <w:rFonts w:ascii="Verdana" w:hAnsi="Verdana"/>
          <w:sz w:val="22"/>
          <w:szCs w:val="22"/>
        </w:rPr>
        <w:t>Teniendo en cuenta las consideraciones de orden legal expuestas se puede concluir lo siguiente:</w:t>
      </w:r>
    </w:p>
    <w:p w14:paraId="0A202BBE" w14:textId="76A610F3" w:rsidR="00CB68E8" w:rsidRPr="00CB68E8" w:rsidRDefault="00CB68E8" w:rsidP="00CB68E8">
      <w:pPr>
        <w:jc w:val="both"/>
        <w:rPr>
          <w:rFonts w:ascii="Verdana" w:hAnsi="Verdana"/>
          <w:sz w:val="22"/>
          <w:szCs w:val="22"/>
        </w:rPr>
      </w:pPr>
      <w:r w:rsidRPr="00CB68E8">
        <w:rPr>
          <w:rFonts w:ascii="Verdana" w:hAnsi="Verdana"/>
          <w:sz w:val="22"/>
          <w:szCs w:val="22"/>
        </w:rPr>
        <w:t>Los menores de edad con residencia en el exterior y que hayan obtenido permiso para salir del País por una de las tres circunstancias enunciadas en el inciso primero del artículo 110 de la Ley 1098 de 2006, no requirieren de nueva autorización para salir del país, cuando decidan volver al País de residencia.</w:t>
      </w:r>
    </w:p>
    <w:p w14:paraId="0F3ABBD8" w14:textId="619913BF" w:rsidR="00CB68E8" w:rsidRPr="00CB68E8" w:rsidRDefault="00CB68E8" w:rsidP="00CB68E8">
      <w:pPr>
        <w:jc w:val="both"/>
        <w:rPr>
          <w:rFonts w:ascii="Verdana" w:hAnsi="Verdana"/>
          <w:sz w:val="22"/>
          <w:szCs w:val="22"/>
        </w:rPr>
      </w:pPr>
      <w:r w:rsidRPr="00CB68E8">
        <w:rPr>
          <w:rFonts w:ascii="Verdana" w:hAnsi="Verdana"/>
          <w:sz w:val="22"/>
          <w:szCs w:val="22"/>
        </w:rPr>
        <w:t>Por último, es preciso indicar que el presente concepto</w:t>
      </w:r>
      <w:r w:rsidRPr="00CB68E8">
        <w:rPr>
          <w:rFonts w:ascii="Verdana" w:hAnsi="Verdana"/>
          <w:sz w:val="22"/>
          <w:szCs w:val="22"/>
          <w:vertAlign w:val="subscript"/>
        </w:rPr>
        <w:t>[1]</w:t>
      </w:r>
      <w:r w:rsidRPr="00CB68E8">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B44FA33" w14:textId="77777777" w:rsidR="00CB68E8" w:rsidRPr="00CB68E8" w:rsidRDefault="00CB68E8" w:rsidP="00CB68E8">
      <w:pPr>
        <w:jc w:val="both"/>
        <w:rPr>
          <w:rFonts w:ascii="Verdana" w:hAnsi="Verdana"/>
          <w:sz w:val="22"/>
          <w:szCs w:val="22"/>
        </w:rPr>
      </w:pPr>
      <w:r w:rsidRPr="00CB68E8">
        <w:rPr>
          <w:rFonts w:ascii="Verdana" w:hAnsi="Verdana"/>
          <w:sz w:val="22"/>
          <w:szCs w:val="22"/>
        </w:rPr>
        <w:t>Cordialmente,</w:t>
      </w:r>
    </w:p>
    <w:p w14:paraId="003F613B" w14:textId="77777777" w:rsidR="00CB68E8" w:rsidRPr="00CB68E8" w:rsidRDefault="00CB68E8" w:rsidP="00CB68E8">
      <w:pPr>
        <w:jc w:val="both"/>
        <w:rPr>
          <w:rFonts w:ascii="Verdana" w:hAnsi="Verdana"/>
          <w:sz w:val="22"/>
          <w:szCs w:val="22"/>
        </w:rPr>
      </w:pPr>
      <w:r w:rsidRPr="00CB68E8">
        <w:rPr>
          <w:rFonts w:ascii="Verdana" w:hAnsi="Verdana"/>
          <w:b/>
          <w:bCs/>
          <w:sz w:val="22"/>
          <w:szCs w:val="22"/>
        </w:rPr>
        <w:t>LUZ KARIME FERNANDEZ CASTILLO</w:t>
      </w:r>
    </w:p>
    <w:p w14:paraId="1A81BAB9" w14:textId="77777777" w:rsidR="00CB68E8" w:rsidRPr="00CB68E8" w:rsidRDefault="00CB68E8" w:rsidP="00CB68E8">
      <w:pPr>
        <w:jc w:val="both"/>
        <w:rPr>
          <w:rFonts w:ascii="Verdana" w:hAnsi="Verdana"/>
          <w:sz w:val="22"/>
          <w:szCs w:val="22"/>
        </w:rPr>
      </w:pPr>
      <w:r w:rsidRPr="00CB68E8">
        <w:rPr>
          <w:rFonts w:ascii="Verdana" w:hAnsi="Verdana"/>
          <w:sz w:val="22"/>
          <w:szCs w:val="22"/>
        </w:rPr>
        <w:t>Jefe Oficina Asesora Jurídica</w:t>
      </w:r>
    </w:p>
    <w:p w14:paraId="14702C9F" w14:textId="77777777" w:rsidR="00CB68E8" w:rsidRPr="00CB68E8" w:rsidRDefault="00CB68E8" w:rsidP="00CB68E8">
      <w:pPr>
        <w:jc w:val="both"/>
        <w:rPr>
          <w:rFonts w:ascii="Verdana" w:hAnsi="Verdana"/>
          <w:b/>
          <w:bCs/>
          <w:sz w:val="22"/>
          <w:szCs w:val="22"/>
        </w:rPr>
      </w:pPr>
    </w:p>
    <w:p w14:paraId="7DE51E13" w14:textId="26332DC9" w:rsidR="00CB68E8" w:rsidRPr="00CB68E8" w:rsidRDefault="00CB68E8" w:rsidP="00CB68E8">
      <w:pPr>
        <w:jc w:val="both"/>
        <w:rPr>
          <w:rFonts w:ascii="Verdana" w:hAnsi="Verdana"/>
          <w:b/>
          <w:bCs/>
          <w:sz w:val="22"/>
          <w:szCs w:val="22"/>
        </w:rPr>
      </w:pPr>
      <w:r w:rsidRPr="00CB68E8">
        <w:rPr>
          <w:rFonts w:ascii="Verdana" w:hAnsi="Verdana"/>
          <w:b/>
          <w:bCs/>
          <w:sz w:val="22"/>
          <w:szCs w:val="22"/>
        </w:rPr>
        <w:t xml:space="preserve">Notas Pie de Pagina </w:t>
      </w:r>
    </w:p>
    <w:p w14:paraId="59BFC96D" w14:textId="38CE94F8" w:rsidR="00CB68E8" w:rsidRPr="00CB68E8" w:rsidRDefault="00CB68E8" w:rsidP="00CB68E8">
      <w:pPr>
        <w:pStyle w:val="Prrafodelista"/>
        <w:numPr>
          <w:ilvl w:val="0"/>
          <w:numId w:val="2"/>
        </w:numPr>
        <w:jc w:val="both"/>
        <w:rPr>
          <w:rFonts w:ascii="Verdana" w:hAnsi="Verdana"/>
          <w:sz w:val="22"/>
          <w:szCs w:val="22"/>
        </w:rPr>
      </w:pPr>
      <w:r w:rsidRPr="00CB68E8">
        <w:rPr>
          <w:rFonts w:ascii="Verdana" w:hAnsi="Verdana"/>
          <w:sz w:val="22"/>
          <w:szCs w:val="22"/>
        </w:rPr>
        <w:lastRenderedPageBreak/>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01B4B40E" w14:textId="77777777" w:rsidR="00A724C4" w:rsidRPr="00CB68E8" w:rsidRDefault="00A724C4" w:rsidP="00CB68E8">
      <w:pPr>
        <w:jc w:val="both"/>
        <w:rPr>
          <w:rFonts w:ascii="Verdana" w:hAnsi="Verdana"/>
          <w:sz w:val="22"/>
          <w:szCs w:val="22"/>
        </w:rPr>
      </w:pPr>
    </w:p>
    <w:sectPr w:rsidR="00A724C4" w:rsidRPr="00CB68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7BF"/>
    <w:multiLevelType w:val="hybridMultilevel"/>
    <w:tmpl w:val="570E24D2"/>
    <w:lvl w:ilvl="0" w:tplc="84FAF84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0FD4927"/>
    <w:multiLevelType w:val="hybridMultilevel"/>
    <w:tmpl w:val="49304D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8AF459B"/>
    <w:multiLevelType w:val="hybridMultilevel"/>
    <w:tmpl w:val="B9E888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29B102C"/>
    <w:multiLevelType w:val="hybridMultilevel"/>
    <w:tmpl w:val="1C46E9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99107524">
    <w:abstractNumId w:val="3"/>
  </w:num>
  <w:num w:numId="2" w16cid:durableId="1321037513">
    <w:abstractNumId w:val="2"/>
  </w:num>
  <w:num w:numId="3" w16cid:durableId="913592656">
    <w:abstractNumId w:val="1"/>
  </w:num>
  <w:num w:numId="4" w16cid:durableId="104394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72"/>
    <w:rsid w:val="00243CB4"/>
    <w:rsid w:val="006C2E72"/>
    <w:rsid w:val="008C4DE0"/>
    <w:rsid w:val="00A724C4"/>
    <w:rsid w:val="00CB68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E597"/>
  <w15:chartTrackingRefBased/>
  <w15:docId w15:val="{85E0C0AA-0D5F-4268-A3EE-A3574208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C2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2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2E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2E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C2E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C2E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C2E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C2E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C2E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2E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C2E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C2E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C2E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C2E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C2E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C2E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C2E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C2E72"/>
    <w:rPr>
      <w:rFonts w:eastAsiaTheme="majorEastAsia" w:cstheme="majorBidi"/>
      <w:color w:val="272727" w:themeColor="text1" w:themeTint="D8"/>
    </w:rPr>
  </w:style>
  <w:style w:type="paragraph" w:styleId="Ttulo">
    <w:name w:val="Title"/>
    <w:basedOn w:val="Normal"/>
    <w:next w:val="Normal"/>
    <w:link w:val="TtuloCar"/>
    <w:uiPriority w:val="10"/>
    <w:qFormat/>
    <w:rsid w:val="006C2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2E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C2E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2E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C2E72"/>
    <w:pPr>
      <w:spacing w:before="160"/>
      <w:jc w:val="center"/>
    </w:pPr>
    <w:rPr>
      <w:i/>
      <w:iCs/>
      <w:color w:val="404040" w:themeColor="text1" w:themeTint="BF"/>
    </w:rPr>
  </w:style>
  <w:style w:type="character" w:customStyle="1" w:styleId="CitaCar">
    <w:name w:val="Cita Car"/>
    <w:basedOn w:val="Fuentedeprrafopredeter"/>
    <w:link w:val="Cita"/>
    <w:uiPriority w:val="29"/>
    <w:rsid w:val="006C2E72"/>
    <w:rPr>
      <w:i/>
      <w:iCs/>
      <w:color w:val="404040" w:themeColor="text1" w:themeTint="BF"/>
    </w:rPr>
  </w:style>
  <w:style w:type="paragraph" w:styleId="Prrafodelista">
    <w:name w:val="List Paragraph"/>
    <w:basedOn w:val="Normal"/>
    <w:uiPriority w:val="34"/>
    <w:qFormat/>
    <w:rsid w:val="006C2E72"/>
    <w:pPr>
      <w:ind w:left="720"/>
      <w:contextualSpacing/>
    </w:pPr>
  </w:style>
  <w:style w:type="character" w:styleId="nfasisintenso">
    <w:name w:val="Intense Emphasis"/>
    <w:basedOn w:val="Fuentedeprrafopredeter"/>
    <w:uiPriority w:val="21"/>
    <w:qFormat/>
    <w:rsid w:val="006C2E72"/>
    <w:rPr>
      <w:i/>
      <w:iCs/>
      <w:color w:val="0F4761" w:themeColor="accent1" w:themeShade="BF"/>
    </w:rPr>
  </w:style>
  <w:style w:type="paragraph" w:styleId="Citadestacada">
    <w:name w:val="Intense Quote"/>
    <w:basedOn w:val="Normal"/>
    <w:next w:val="Normal"/>
    <w:link w:val="CitadestacadaCar"/>
    <w:uiPriority w:val="30"/>
    <w:qFormat/>
    <w:rsid w:val="006C2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2E72"/>
    <w:rPr>
      <w:i/>
      <w:iCs/>
      <w:color w:val="0F4761" w:themeColor="accent1" w:themeShade="BF"/>
    </w:rPr>
  </w:style>
  <w:style w:type="character" w:styleId="Referenciaintensa">
    <w:name w:val="Intense Reference"/>
    <w:basedOn w:val="Fuentedeprrafopredeter"/>
    <w:uiPriority w:val="32"/>
    <w:qFormat/>
    <w:rsid w:val="006C2E72"/>
    <w:rPr>
      <w:b/>
      <w:bCs/>
      <w:smallCaps/>
      <w:color w:val="0F4761" w:themeColor="accent1" w:themeShade="BF"/>
      <w:spacing w:val="5"/>
    </w:rPr>
  </w:style>
  <w:style w:type="character" w:styleId="Hipervnculo">
    <w:name w:val="Hyperlink"/>
    <w:basedOn w:val="Fuentedeprrafopredeter"/>
    <w:uiPriority w:val="99"/>
    <w:unhideWhenUsed/>
    <w:rsid w:val="00CB68E8"/>
    <w:rPr>
      <w:color w:val="467886" w:themeColor="hyperlink"/>
      <w:u w:val="single"/>
    </w:rPr>
  </w:style>
  <w:style w:type="character" w:styleId="Mencinsinresolver">
    <w:name w:val="Unresolved Mention"/>
    <w:basedOn w:val="Fuentedeprrafopredeter"/>
    <w:uiPriority w:val="99"/>
    <w:semiHidden/>
    <w:unhideWhenUsed/>
    <w:rsid w:val="00CB6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2AF9EC-6489-4E77-AE2E-8EC60D6D41D0}"/>
</file>

<file path=customXml/itemProps2.xml><?xml version="1.0" encoding="utf-8"?>
<ds:datastoreItem xmlns:ds="http://schemas.openxmlformats.org/officeDocument/2006/customXml" ds:itemID="{2CB0C7C0-27E4-4A3D-BBE8-A84458E66609}"/>
</file>

<file path=customXml/itemProps3.xml><?xml version="1.0" encoding="utf-8"?>
<ds:datastoreItem xmlns:ds="http://schemas.openxmlformats.org/officeDocument/2006/customXml" ds:itemID="{5C82F009-0C05-4294-BC9B-F9536A7963F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1263</Words>
  <Characters>6949</Characters>
  <Application>Microsoft Office Word</Application>
  <DocSecurity>0</DocSecurity>
  <Lines>57</Lines>
  <Paragraphs>16</Paragraphs>
  <ScaleCrop>false</ScaleCrop>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2026-05-19T05:01:00Z</dcterms:created>
  <dcterms:modified xsi:type="dcterms:W3CDTF">2026-05-19T05:03:00Z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