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5931" w14:textId="77777777" w:rsidR="00F3271A" w:rsidRPr="00F3271A" w:rsidRDefault="00F3271A" w:rsidP="00F3271A">
      <w:pPr>
        <w:jc w:val="center"/>
        <w:rPr>
          <w:rFonts w:ascii="Verdana" w:hAnsi="Verdana"/>
          <w:sz w:val="22"/>
          <w:szCs w:val="22"/>
        </w:rPr>
      </w:pPr>
      <w:r w:rsidRPr="00F3271A">
        <w:rPr>
          <w:rFonts w:ascii="Verdana" w:hAnsi="Verdana"/>
          <w:b/>
          <w:bCs/>
          <w:sz w:val="22"/>
          <w:szCs w:val="22"/>
        </w:rPr>
        <w:t>CONCEPTO 80 DE 2017</w:t>
      </w:r>
    </w:p>
    <w:p w14:paraId="5C826E36" w14:textId="77777777" w:rsidR="00F3271A" w:rsidRPr="00F3271A" w:rsidRDefault="00F3271A" w:rsidP="00F3271A">
      <w:pPr>
        <w:jc w:val="center"/>
        <w:rPr>
          <w:rFonts w:ascii="Verdana" w:hAnsi="Verdana"/>
          <w:sz w:val="22"/>
          <w:szCs w:val="22"/>
        </w:rPr>
      </w:pPr>
      <w:r w:rsidRPr="00F3271A">
        <w:rPr>
          <w:rFonts w:ascii="Verdana" w:hAnsi="Verdana"/>
          <w:sz w:val="22"/>
          <w:szCs w:val="22"/>
        </w:rPr>
        <w:t>(julio 7)</w:t>
      </w:r>
    </w:p>
    <w:p w14:paraId="10687F49" w14:textId="77777777" w:rsidR="00F3271A" w:rsidRPr="00F3271A" w:rsidRDefault="00F3271A" w:rsidP="00F3271A">
      <w:pPr>
        <w:jc w:val="center"/>
        <w:rPr>
          <w:rFonts w:ascii="Verdana" w:hAnsi="Verdana"/>
          <w:sz w:val="22"/>
          <w:szCs w:val="22"/>
        </w:rPr>
      </w:pPr>
      <w:r w:rsidRPr="00F3271A">
        <w:rPr>
          <w:rFonts w:ascii="Verdana" w:hAnsi="Verdana"/>
          <w:b/>
          <w:bCs/>
          <w:sz w:val="22"/>
          <w:szCs w:val="22"/>
        </w:rPr>
        <w:t>INSTITUTO COLOMBIANO DE BIENESTAR FAMILIAR</w:t>
      </w:r>
    </w:p>
    <w:p w14:paraId="13E7DAB4" w14:textId="2E6F9279" w:rsidR="00F3271A" w:rsidRPr="00F3271A" w:rsidRDefault="00F3271A" w:rsidP="00F3271A">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F3271A" w:rsidRPr="00F3271A" w14:paraId="28BEBBE9"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40BDF44C" w14:textId="77777777" w:rsidR="00F3271A" w:rsidRPr="00F3271A" w:rsidRDefault="00F3271A" w:rsidP="00F3271A">
            <w:pPr>
              <w:jc w:val="both"/>
              <w:rPr>
                <w:rFonts w:ascii="Verdana" w:hAnsi="Verdana"/>
                <w:sz w:val="22"/>
                <w:szCs w:val="22"/>
              </w:rPr>
            </w:pPr>
            <w:r w:rsidRPr="00F3271A">
              <w:rPr>
                <w:rFonts w:ascii="Verdana" w:hAnsi="Verdana"/>
                <w:b/>
                <w:bCs/>
                <w:sz w:val="22"/>
                <w:szCs w:val="22"/>
              </w:rPr>
              <w:t>PARA</w:t>
            </w:r>
            <w:r w:rsidRPr="00F3271A">
              <w:rPr>
                <w:rFonts w:ascii="Verdana" w:hAnsi="Verdana"/>
                <w:sz w:val="22"/>
                <w:szCs w:val="22"/>
              </w:rPr>
              <w:t>:</w:t>
            </w:r>
          </w:p>
        </w:tc>
        <w:tc>
          <w:tcPr>
            <w:tcW w:w="4250" w:type="pct"/>
            <w:tcBorders>
              <w:top w:val="nil"/>
              <w:left w:val="nil"/>
              <w:bottom w:val="nil"/>
              <w:right w:val="nil"/>
            </w:tcBorders>
            <w:tcMar>
              <w:top w:w="0" w:type="dxa"/>
              <w:left w:w="0" w:type="dxa"/>
              <w:bottom w:w="0" w:type="dxa"/>
              <w:right w:w="0" w:type="dxa"/>
            </w:tcMar>
            <w:hideMark/>
          </w:tcPr>
          <w:p w14:paraId="5251D755" w14:textId="77777777" w:rsidR="00F3271A" w:rsidRPr="00F3271A" w:rsidRDefault="00F3271A" w:rsidP="00F3271A">
            <w:pPr>
              <w:jc w:val="both"/>
              <w:rPr>
                <w:rFonts w:ascii="Verdana" w:hAnsi="Verdana"/>
                <w:sz w:val="22"/>
                <w:szCs w:val="22"/>
              </w:rPr>
            </w:pPr>
            <w:r w:rsidRPr="00F3271A">
              <w:rPr>
                <w:rFonts w:ascii="Verdana" w:hAnsi="Verdana"/>
                <w:sz w:val="22"/>
                <w:szCs w:val="22"/>
              </w:rPr>
              <w:t>Directora Regional Encargada ICBF Caldas</w:t>
            </w:r>
            <w:r w:rsidRPr="00F3271A">
              <w:rPr>
                <w:rFonts w:ascii="Verdana" w:hAnsi="Verdana"/>
                <w:sz w:val="22"/>
                <w:szCs w:val="22"/>
              </w:rPr>
              <w:br/>
              <w:t>Coordinadora Grupo Jurídico ICBF Caldas</w:t>
            </w:r>
          </w:p>
        </w:tc>
      </w:tr>
      <w:tr w:rsidR="00F3271A" w:rsidRPr="00F3271A" w14:paraId="77F10FC4"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383B9FEE" w14:textId="77777777" w:rsidR="00F3271A" w:rsidRPr="00F3271A" w:rsidRDefault="00F3271A" w:rsidP="00F3271A">
            <w:pPr>
              <w:jc w:val="both"/>
              <w:rPr>
                <w:rFonts w:ascii="Verdana" w:hAnsi="Verdana"/>
                <w:sz w:val="22"/>
                <w:szCs w:val="22"/>
              </w:rPr>
            </w:pPr>
            <w:r w:rsidRPr="00F3271A">
              <w:rPr>
                <w:rFonts w:ascii="Verdana" w:hAnsi="Verdana"/>
                <w:b/>
                <w:bCs/>
                <w:sz w:val="22"/>
                <w:szCs w:val="22"/>
              </w:rPr>
              <w:t>ASUNTO</w:t>
            </w:r>
            <w:r w:rsidRPr="00F3271A">
              <w:rPr>
                <w:rFonts w:ascii="Verdana" w:hAnsi="Verdana"/>
                <w:sz w:val="22"/>
                <w:szCs w:val="22"/>
              </w:rPr>
              <w:t>:</w:t>
            </w:r>
          </w:p>
        </w:tc>
        <w:tc>
          <w:tcPr>
            <w:tcW w:w="4250" w:type="pct"/>
            <w:tcBorders>
              <w:top w:val="nil"/>
              <w:left w:val="nil"/>
              <w:bottom w:val="nil"/>
              <w:right w:val="nil"/>
            </w:tcBorders>
            <w:tcMar>
              <w:top w:w="0" w:type="dxa"/>
              <w:left w:w="0" w:type="dxa"/>
              <w:bottom w:w="0" w:type="dxa"/>
              <w:right w:w="0" w:type="dxa"/>
            </w:tcMar>
            <w:hideMark/>
          </w:tcPr>
          <w:p w14:paraId="62732F79" w14:textId="77777777" w:rsidR="00F3271A" w:rsidRPr="00F3271A" w:rsidRDefault="00F3271A" w:rsidP="00F3271A">
            <w:pPr>
              <w:jc w:val="both"/>
              <w:rPr>
                <w:rFonts w:ascii="Verdana" w:hAnsi="Verdana"/>
                <w:sz w:val="22"/>
                <w:szCs w:val="22"/>
              </w:rPr>
            </w:pPr>
            <w:r w:rsidRPr="00F3271A">
              <w:rPr>
                <w:rFonts w:ascii="Verdana" w:hAnsi="Verdana"/>
                <w:sz w:val="22"/>
                <w:szCs w:val="22"/>
              </w:rPr>
              <w:t>Solicitud de concepto de acuerdo ha radicado en el ICBF No. 247246 del 24 de Junio de 2017.</w:t>
            </w:r>
          </w:p>
        </w:tc>
      </w:tr>
    </w:tbl>
    <w:p w14:paraId="75F6D819" w14:textId="66BE1F99" w:rsidR="00F3271A" w:rsidRPr="00F3271A" w:rsidRDefault="00F3271A" w:rsidP="00F3271A">
      <w:pPr>
        <w:jc w:val="both"/>
        <w:rPr>
          <w:rFonts w:ascii="Verdana" w:hAnsi="Verdana"/>
          <w:sz w:val="22"/>
          <w:szCs w:val="22"/>
        </w:rPr>
      </w:pPr>
      <w:r w:rsidRPr="00F3271A">
        <w:rPr>
          <w:rFonts w:ascii="Verdana" w:hAnsi="Verdana"/>
          <w:sz w:val="22"/>
          <w:szCs w:val="22"/>
        </w:rPr>
        <w:t>De manera atenta, en relación con el asunto de la referencia, en los términos previstos en los artículos 26 del Código Civil, 13 y subsiguientes del Código de Procedimiento Administrativo y de lo Contencioso Administrativo y 6o, numeral 4, del Decreto 987 de 2012, se responde la solicitud de concepto definitivo sobre el caso en cuestión, en los términos que siguen y de acuerdo con el concepto técnico emitido por la Dirección de Protección del ICBF:</w:t>
      </w:r>
    </w:p>
    <w:p w14:paraId="19CD27B4" w14:textId="77777777" w:rsidR="00F3271A" w:rsidRPr="00F3271A" w:rsidRDefault="00F3271A" w:rsidP="00F3271A">
      <w:pPr>
        <w:jc w:val="both"/>
        <w:rPr>
          <w:rFonts w:ascii="Verdana" w:hAnsi="Verdana"/>
          <w:sz w:val="22"/>
          <w:szCs w:val="22"/>
        </w:rPr>
      </w:pPr>
      <w:r w:rsidRPr="00F3271A">
        <w:rPr>
          <w:rFonts w:ascii="Verdana" w:hAnsi="Verdana"/>
          <w:b/>
          <w:bCs/>
          <w:sz w:val="22"/>
          <w:szCs w:val="22"/>
        </w:rPr>
        <w:t>1. PROBLEMA JURÍDICO</w:t>
      </w:r>
    </w:p>
    <w:p w14:paraId="6E78D82A" w14:textId="77777777" w:rsidR="00F3271A" w:rsidRPr="00F3271A" w:rsidRDefault="00F3271A" w:rsidP="00F3271A">
      <w:pPr>
        <w:jc w:val="both"/>
        <w:rPr>
          <w:rFonts w:ascii="Verdana" w:hAnsi="Verdana"/>
          <w:sz w:val="22"/>
          <w:szCs w:val="22"/>
        </w:rPr>
      </w:pPr>
      <w:r w:rsidRPr="00F3271A">
        <w:rPr>
          <w:rFonts w:ascii="Verdana" w:hAnsi="Verdana"/>
          <w:sz w:val="22"/>
          <w:szCs w:val="22"/>
        </w:rPr>
        <w:t>¿Qué sucede con los procesos administrativos de los jóvenes mayores de 18 años, declarados en situación de Adoptabilidad y que desean de manera libre y voluntaria prestar el servicio militar? ¿Se cesa el proceso a su favor? ¿Se cierra el proceso mientras cumplen el servicio militar? ¿Es viable que regresen a la medida del ICBF una vez culminado dicho servicio? Si acontece alguna situación en su contra (discapacidad, muerte) ¿Cómo guardar responsabilidades por parte del DF que permitió dicha vinculación?</w:t>
      </w:r>
    </w:p>
    <w:p w14:paraId="2D09B0CE" w14:textId="77777777" w:rsidR="00F3271A" w:rsidRPr="00F3271A" w:rsidRDefault="00F3271A" w:rsidP="00F3271A">
      <w:pPr>
        <w:jc w:val="both"/>
        <w:rPr>
          <w:rFonts w:ascii="Verdana" w:hAnsi="Verdana"/>
          <w:sz w:val="22"/>
          <w:szCs w:val="22"/>
        </w:rPr>
      </w:pPr>
      <w:r w:rsidRPr="00F3271A">
        <w:rPr>
          <w:rFonts w:ascii="Verdana" w:hAnsi="Verdana"/>
          <w:b/>
          <w:bCs/>
          <w:sz w:val="22"/>
          <w:szCs w:val="22"/>
        </w:rPr>
        <w:t>2. ANÁLISIS DEL PROBLEMA JURÍDICO</w:t>
      </w:r>
    </w:p>
    <w:p w14:paraId="67D097E4" w14:textId="77777777" w:rsidR="00F3271A" w:rsidRPr="00F3271A" w:rsidRDefault="00F3271A" w:rsidP="00F3271A">
      <w:pPr>
        <w:jc w:val="both"/>
        <w:rPr>
          <w:rFonts w:ascii="Verdana" w:hAnsi="Verdana"/>
          <w:sz w:val="22"/>
          <w:szCs w:val="22"/>
        </w:rPr>
      </w:pPr>
      <w:r w:rsidRPr="00F3271A">
        <w:rPr>
          <w:rFonts w:ascii="Verdana" w:hAnsi="Verdana"/>
          <w:sz w:val="22"/>
          <w:szCs w:val="22"/>
        </w:rPr>
        <w:t>El presente problema jurídico se abordará así: 2.1. La función de las Autoridades Administrativas en el restablecimiento de los derechos de los niños, niñas y adolescentes; 2.2. El Proceso de Restablecimiento de Derechos; 2.3 El deber y correlativo derecho de definir la situación militar de un menor de edad o un joven mayor de edad a cargo del ICBF en aras de preservar el interés superior de los niños, las niñas y los adolescentes; 2.4. Conclusiones.</w:t>
      </w:r>
    </w:p>
    <w:p w14:paraId="485FE37D" w14:textId="77777777" w:rsidR="00F3271A" w:rsidRPr="00F3271A" w:rsidRDefault="00F3271A" w:rsidP="00F3271A">
      <w:pPr>
        <w:jc w:val="both"/>
        <w:rPr>
          <w:rFonts w:ascii="Verdana" w:hAnsi="Verdana"/>
          <w:sz w:val="22"/>
          <w:szCs w:val="22"/>
        </w:rPr>
      </w:pPr>
      <w:r w:rsidRPr="00F3271A">
        <w:rPr>
          <w:rFonts w:ascii="Verdana" w:hAnsi="Verdana"/>
          <w:b/>
          <w:bCs/>
          <w:sz w:val="22"/>
          <w:szCs w:val="22"/>
        </w:rPr>
        <w:t>2.1. La función de las Autoridades Administrativas en el restablecimiento de los derechos de los niños, niñas y adolescentes</w:t>
      </w:r>
    </w:p>
    <w:p w14:paraId="21A70E33" w14:textId="77777777" w:rsidR="00F3271A" w:rsidRPr="00F3271A" w:rsidRDefault="00F3271A" w:rsidP="00F3271A">
      <w:pPr>
        <w:jc w:val="both"/>
        <w:rPr>
          <w:rFonts w:ascii="Verdana" w:hAnsi="Verdana"/>
          <w:sz w:val="22"/>
          <w:szCs w:val="22"/>
        </w:rPr>
      </w:pPr>
      <w:r w:rsidRPr="00F3271A">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20D88190" w14:textId="77777777" w:rsidR="00F3271A" w:rsidRPr="00F3271A" w:rsidRDefault="00F3271A" w:rsidP="00F3271A">
      <w:pPr>
        <w:jc w:val="both"/>
        <w:rPr>
          <w:rFonts w:ascii="Verdana" w:hAnsi="Verdana"/>
          <w:sz w:val="22"/>
          <w:szCs w:val="22"/>
        </w:rPr>
      </w:pPr>
      <w:r w:rsidRPr="00F3271A">
        <w:rPr>
          <w:rFonts w:ascii="Verdana" w:hAnsi="Verdana"/>
          <w:sz w:val="22"/>
          <w:szCs w:val="22"/>
        </w:rPr>
        <w:lastRenderedPageBreak/>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2CEF2C48" w14:textId="3DD44EB8" w:rsidR="00F3271A" w:rsidRPr="00F3271A" w:rsidRDefault="00F3271A" w:rsidP="00F3271A">
      <w:pPr>
        <w:jc w:val="both"/>
        <w:rPr>
          <w:rFonts w:ascii="Verdana" w:hAnsi="Verdana"/>
          <w:sz w:val="22"/>
          <w:szCs w:val="22"/>
        </w:rPr>
      </w:pPr>
      <w:r w:rsidRPr="00F3271A">
        <w:rPr>
          <w:rFonts w:ascii="Verdana" w:hAnsi="Verdana"/>
          <w:sz w:val="22"/>
          <w:szCs w:val="22"/>
        </w:rPr>
        <w:t>La normatividad establecida en el Código de la Infancia y la Adolescencia aplica para todos los niños, las niñas y los adolescentes nacionales o extranjeros que se encuentren en el país, a los nacionales que se encuentren fuera del país y a aquellos con doble nacionalidad cuando una de ellas sea colombiana.</w:t>
      </w:r>
      <w:r w:rsidRPr="00F3271A">
        <w:rPr>
          <w:rFonts w:ascii="Verdana" w:hAnsi="Verdana"/>
          <w:b/>
          <w:bCs/>
          <w:sz w:val="22"/>
          <w:szCs w:val="22"/>
          <w:vertAlign w:val="superscript"/>
        </w:rPr>
        <w:t>[1]</w:t>
      </w:r>
    </w:p>
    <w:p w14:paraId="6E829E1F" w14:textId="77777777" w:rsidR="00F3271A" w:rsidRPr="00F3271A" w:rsidRDefault="00F3271A" w:rsidP="00F3271A">
      <w:pPr>
        <w:jc w:val="both"/>
        <w:rPr>
          <w:rFonts w:ascii="Verdana" w:hAnsi="Verdana"/>
          <w:sz w:val="22"/>
          <w:szCs w:val="22"/>
        </w:rPr>
      </w:pPr>
      <w:r w:rsidRPr="00F3271A">
        <w:rPr>
          <w:rFonts w:ascii="Verdana" w:hAnsi="Verdana"/>
          <w:sz w:val="22"/>
          <w:szCs w:val="22"/>
        </w:rPr>
        <w:t>Al respecto, la Corte Constitucional precisó respecto al Código de la Infancia y la Adolescencia que:</w:t>
      </w:r>
    </w:p>
    <w:p w14:paraId="23F8EE8B" w14:textId="0177229A" w:rsidR="00F3271A" w:rsidRPr="00F3271A" w:rsidRDefault="00F3271A" w:rsidP="00F3271A">
      <w:pPr>
        <w:jc w:val="both"/>
        <w:rPr>
          <w:rFonts w:ascii="Verdana" w:hAnsi="Verdana"/>
          <w:sz w:val="22"/>
          <w:szCs w:val="22"/>
        </w:rPr>
      </w:pPr>
      <w:r w:rsidRPr="00F3271A">
        <w:rPr>
          <w:rFonts w:ascii="Verdana" w:hAnsi="Verdana"/>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5o y 6o)".</w:t>
      </w:r>
      <w:r w:rsidRPr="00F3271A">
        <w:rPr>
          <w:rFonts w:ascii="Verdana" w:hAnsi="Verdana"/>
          <w:b/>
          <w:bCs/>
          <w:sz w:val="22"/>
          <w:szCs w:val="22"/>
          <w:vertAlign w:val="superscript"/>
        </w:rPr>
        <w:t>[2]</w:t>
      </w:r>
    </w:p>
    <w:p w14:paraId="1FE417E6" w14:textId="77777777" w:rsidR="00F3271A" w:rsidRPr="00F3271A" w:rsidRDefault="00F3271A" w:rsidP="00F3271A">
      <w:pPr>
        <w:jc w:val="both"/>
        <w:rPr>
          <w:rFonts w:ascii="Verdana" w:hAnsi="Verdana"/>
          <w:sz w:val="22"/>
          <w:szCs w:val="22"/>
        </w:rPr>
      </w:pPr>
      <w:r w:rsidRPr="00F3271A">
        <w:rPr>
          <w:rFonts w:ascii="Verdana" w:hAnsi="Verdana"/>
          <w:sz w:val="22"/>
          <w:szCs w:val="22"/>
        </w:rPr>
        <w:t>En el capítulo III de dicho Código se establece cuáles son las autoridades competentes para el restablecimiento de los derechos de los niños, las niñas y los adolescentes, cuya función primordial será prevenir, garantizar y restablecer los derechos de los niños, niñas y adolescentes.</w:t>
      </w:r>
    </w:p>
    <w:p w14:paraId="0C759E63" w14:textId="77777777" w:rsidR="00F3271A" w:rsidRPr="00F3271A" w:rsidRDefault="00F3271A" w:rsidP="00F3271A">
      <w:pPr>
        <w:jc w:val="both"/>
        <w:rPr>
          <w:rFonts w:ascii="Verdana" w:hAnsi="Verdana"/>
          <w:sz w:val="22"/>
          <w:szCs w:val="22"/>
        </w:rPr>
      </w:pPr>
      <w:r w:rsidRPr="00F3271A">
        <w:rPr>
          <w:rFonts w:ascii="Verdana" w:hAnsi="Verdana"/>
          <w:sz w:val="22"/>
          <w:szCs w:val="22"/>
        </w:rPr>
        <w:t>Al respecto, la Corte Constitucional indicó:</w:t>
      </w:r>
    </w:p>
    <w:p w14:paraId="1749E88D" w14:textId="7914A5E6" w:rsidR="00F3271A" w:rsidRPr="00F3271A" w:rsidRDefault="00F3271A" w:rsidP="00F3271A">
      <w:pPr>
        <w:jc w:val="both"/>
        <w:rPr>
          <w:rFonts w:ascii="Verdana" w:hAnsi="Verdana"/>
          <w:sz w:val="22"/>
          <w:szCs w:val="22"/>
        </w:rPr>
      </w:pPr>
      <w:r w:rsidRPr="00F3271A">
        <w:rPr>
          <w:rFonts w:ascii="Verdana" w:hAnsi="Verdana"/>
          <w:sz w:val="22"/>
          <w:szCs w:val="22"/>
        </w:rPr>
        <w:t>“(...) los artículos 81, 82 y 85 de la Ley 1098 de 2006 señalan los deberes y las funciones del defensor y del comisario de familia, siendo evidente que la misión encomendada es garantizar, proteger y restablecer los derechos prevalecientes de los menores de edad.</w:t>
      </w:r>
      <w:r w:rsidRPr="00F3271A">
        <w:rPr>
          <w:rFonts w:ascii="Verdana" w:hAnsi="Verdana"/>
          <w:b/>
          <w:bCs/>
          <w:sz w:val="22"/>
          <w:szCs w:val="22"/>
          <w:vertAlign w:val="superscript"/>
        </w:rPr>
        <w:t>[3]</w:t>
      </w:r>
    </w:p>
    <w:p w14:paraId="096B1FA0" w14:textId="0D367047" w:rsidR="00F3271A" w:rsidRPr="00F3271A" w:rsidRDefault="00F3271A" w:rsidP="00F3271A">
      <w:pPr>
        <w:jc w:val="both"/>
        <w:rPr>
          <w:rFonts w:ascii="Verdana" w:hAnsi="Verdana"/>
          <w:sz w:val="22"/>
          <w:szCs w:val="22"/>
        </w:rPr>
      </w:pPr>
      <w:r w:rsidRPr="00F3271A">
        <w:rPr>
          <w:rFonts w:ascii="Verdana" w:hAnsi="Verdana"/>
          <w:sz w:val="22"/>
          <w:szCs w:val="22"/>
        </w:rPr>
        <w:t>En efecto, en el artículo 96 de la Ley 1098 de 2006 dispone:</w:t>
      </w:r>
    </w:p>
    <w:p w14:paraId="6DA8EBA7" w14:textId="77777777" w:rsidR="00F3271A" w:rsidRPr="00F3271A" w:rsidRDefault="00F3271A" w:rsidP="00F3271A">
      <w:pPr>
        <w:jc w:val="both"/>
        <w:rPr>
          <w:rFonts w:ascii="Verdana" w:hAnsi="Verdana"/>
          <w:sz w:val="22"/>
          <w:szCs w:val="22"/>
        </w:rPr>
      </w:pPr>
      <w:r w:rsidRPr="00F3271A">
        <w:rPr>
          <w:rFonts w:ascii="Verdana" w:hAnsi="Verdana"/>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04655E28" w14:textId="77777777" w:rsidR="00F3271A" w:rsidRPr="00F3271A" w:rsidRDefault="00F3271A" w:rsidP="00F3271A">
      <w:pPr>
        <w:jc w:val="both"/>
        <w:rPr>
          <w:rFonts w:ascii="Verdana" w:hAnsi="Verdana"/>
          <w:sz w:val="22"/>
          <w:szCs w:val="22"/>
        </w:rPr>
      </w:pPr>
      <w:r w:rsidRPr="00F3271A">
        <w:rPr>
          <w:rFonts w:ascii="Verdana" w:hAnsi="Verdana"/>
          <w:sz w:val="22"/>
          <w:szCs w:val="22"/>
        </w:rPr>
        <w:t>Las Defensorías de Familia son dependencias del Instituto Colombiano de Bienestar Familiar de naturaleza multidisciplinaria, por excelencia son las autoridades competentes para garantizar y restablecer los derechos de los niños, niñas y adolescentes que se encuentren en situaciones de violación o amenaza contra los mismos.</w:t>
      </w:r>
    </w:p>
    <w:p w14:paraId="3FD9DB01" w14:textId="77777777" w:rsidR="00F3271A" w:rsidRPr="00F3271A" w:rsidRDefault="00F3271A" w:rsidP="00F3271A">
      <w:pPr>
        <w:jc w:val="both"/>
        <w:rPr>
          <w:rFonts w:ascii="Verdana" w:hAnsi="Verdana"/>
          <w:sz w:val="22"/>
          <w:szCs w:val="22"/>
        </w:rPr>
      </w:pPr>
      <w:r w:rsidRPr="00F3271A">
        <w:rPr>
          <w:rFonts w:ascii="Verdana" w:hAnsi="Verdana"/>
          <w:sz w:val="22"/>
          <w:szCs w:val="22"/>
        </w:rPr>
        <w:lastRenderedPageBreak/>
        <w:t>Sus funciones van dirigidas entonces a la protección integral de los derechos de los menores de edad, a fin de evitar su amenaza, inobservancia o vulneración y restablecerlos de manera eficaz, oportuna y efectiva.</w:t>
      </w:r>
    </w:p>
    <w:p w14:paraId="23B3913A" w14:textId="77777777" w:rsidR="00F3271A" w:rsidRPr="00F3271A" w:rsidRDefault="00F3271A" w:rsidP="00F3271A">
      <w:pPr>
        <w:jc w:val="both"/>
        <w:rPr>
          <w:rFonts w:ascii="Verdana" w:hAnsi="Verdana"/>
          <w:sz w:val="22"/>
          <w:szCs w:val="22"/>
        </w:rPr>
      </w:pPr>
      <w:r w:rsidRPr="00F3271A">
        <w:rPr>
          <w:rFonts w:ascii="Verdana" w:hAnsi="Verdana"/>
          <w:sz w:val="22"/>
          <w:szCs w:val="22"/>
        </w:rPr>
        <w:t>En ese sentido, la función que le corresponde a los Defensores de Familia en el restablecimiento de derechos de los niños, niñas y adolescentes, no se circunscribe solamente a aquellos casos en que se evidencia una vulneración de sus derechos, sino también en prevenir que ello ocurra.</w:t>
      </w:r>
    </w:p>
    <w:p w14:paraId="3AD72C12" w14:textId="77777777" w:rsidR="00F3271A" w:rsidRPr="00F3271A" w:rsidRDefault="00F3271A" w:rsidP="00F3271A">
      <w:pPr>
        <w:jc w:val="both"/>
        <w:rPr>
          <w:rFonts w:ascii="Verdana" w:hAnsi="Verdana"/>
          <w:sz w:val="22"/>
          <w:szCs w:val="22"/>
        </w:rPr>
      </w:pPr>
      <w:r w:rsidRPr="00F3271A">
        <w:rPr>
          <w:rFonts w:ascii="Verdana" w:hAnsi="Verdana"/>
          <w:b/>
          <w:bCs/>
          <w:sz w:val="22"/>
          <w:szCs w:val="22"/>
        </w:rPr>
        <w:t>2.2. El Proceso Administrativo de Restablecimiento de Derechos</w:t>
      </w:r>
    </w:p>
    <w:p w14:paraId="6BC28BBF" w14:textId="53A5F54C" w:rsidR="00F3271A" w:rsidRPr="00F3271A" w:rsidRDefault="00F3271A" w:rsidP="00F3271A">
      <w:pPr>
        <w:jc w:val="both"/>
        <w:rPr>
          <w:rFonts w:ascii="Verdana" w:hAnsi="Verdana"/>
          <w:sz w:val="22"/>
          <w:szCs w:val="22"/>
        </w:rPr>
      </w:pPr>
      <w:r w:rsidRPr="00F3271A">
        <w:rPr>
          <w:rFonts w:ascii="Verdana" w:hAnsi="Verdana"/>
          <w:sz w:val="22"/>
          <w:szCs w:val="22"/>
        </w:rPr>
        <w:t>El restablecimiento de los derechos de los niños, las niñas y los adolescentes, de acuerdo con el artículo 50 de la Ley 1098 de 2006, es la restauración de su dignidad e integridad como sujetos y de la capacidad para hacer un ejercicio efectivo de los derechos que le han sido vulnerados.</w:t>
      </w:r>
    </w:p>
    <w:p w14:paraId="21781D18" w14:textId="77777777" w:rsidR="00F3271A" w:rsidRPr="00F3271A" w:rsidRDefault="00F3271A" w:rsidP="00F3271A">
      <w:pPr>
        <w:jc w:val="both"/>
        <w:rPr>
          <w:rFonts w:ascii="Verdana" w:hAnsi="Verdana"/>
          <w:sz w:val="22"/>
          <w:szCs w:val="22"/>
        </w:rPr>
      </w:pPr>
      <w:r w:rsidRPr="00F3271A">
        <w:rPr>
          <w:rFonts w:ascii="Verdana" w:hAnsi="Verdana"/>
          <w:sz w:val="22"/>
          <w:szCs w:val="22"/>
        </w:rPr>
        <w:t>La Corte Constitucional ha dicho que:</w:t>
      </w:r>
    </w:p>
    <w:p w14:paraId="1800DB31" w14:textId="77777777" w:rsidR="00F3271A" w:rsidRPr="00F3271A" w:rsidRDefault="00F3271A" w:rsidP="00F3271A">
      <w:pPr>
        <w:jc w:val="both"/>
        <w:rPr>
          <w:rFonts w:ascii="Verdana" w:hAnsi="Verdana"/>
          <w:sz w:val="22"/>
          <w:szCs w:val="22"/>
        </w:rPr>
      </w:pPr>
      <w:r w:rsidRPr="00F3271A">
        <w:rPr>
          <w:rFonts w:ascii="Verdana" w:hAnsi="Verdana"/>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73E5A67D" w14:textId="4142DF43" w:rsidR="00F3271A" w:rsidRPr="00F3271A" w:rsidRDefault="00F3271A" w:rsidP="00F3271A">
      <w:pPr>
        <w:jc w:val="both"/>
        <w:rPr>
          <w:rFonts w:ascii="Verdana" w:hAnsi="Verdana"/>
          <w:sz w:val="22"/>
          <w:szCs w:val="22"/>
        </w:rPr>
      </w:pPr>
      <w:r w:rsidRPr="00F3271A">
        <w:rPr>
          <w:rFonts w:ascii="Verdana" w:hAnsi="Verdana"/>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52, 52, 53 del Código de la Infancia y la Adolescencia).</w:t>
      </w:r>
      <w:r w:rsidRPr="00F3271A">
        <w:rPr>
          <w:rFonts w:ascii="Verdana" w:hAnsi="Verdana"/>
          <w:b/>
          <w:bCs/>
          <w:sz w:val="22"/>
          <w:szCs w:val="22"/>
          <w:vertAlign w:val="superscript"/>
        </w:rPr>
        <w:t>[4]</w:t>
      </w:r>
    </w:p>
    <w:p w14:paraId="4C30F262" w14:textId="77777777" w:rsidR="00F3271A" w:rsidRPr="00F3271A" w:rsidRDefault="00F3271A" w:rsidP="00F3271A">
      <w:pPr>
        <w:jc w:val="both"/>
        <w:rPr>
          <w:rFonts w:ascii="Verdana" w:hAnsi="Verdana"/>
          <w:sz w:val="22"/>
          <w:szCs w:val="22"/>
        </w:rPr>
      </w:pPr>
      <w:r w:rsidRPr="00F3271A">
        <w:rPr>
          <w:rFonts w:ascii="Verdana" w:hAnsi="Verdana"/>
          <w:sz w:val="22"/>
          <w:szCs w:val="22"/>
        </w:rPr>
        <w:t>Por su parte, el Proceso Administrativo de Restablecimiento de los Derechos de los niños, las niñas y los adolescentes es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Ley, restablezcan a los niños, las niñas y los adolescentes el ejercicio pleno y efectivo de sus derechos.</w:t>
      </w:r>
    </w:p>
    <w:p w14:paraId="0CCF85E0" w14:textId="77777777" w:rsidR="00F3271A" w:rsidRPr="00F3271A" w:rsidRDefault="00F3271A" w:rsidP="00F3271A">
      <w:pPr>
        <w:jc w:val="both"/>
        <w:rPr>
          <w:rFonts w:ascii="Verdana" w:hAnsi="Verdana"/>
          <w:sz w:val="22"/>
          <w:szCs w:val="22"/>
        </w:rPr>
      </w:pPr>
      <w:r w:rsidRPr="00F3271A">
        <w:rPr>
          <w:rFonts w:ascii="Verdana" w:hAnsi="Verdana"/>
          <w:b/>
          <w:bCs/>
          <w:sz w:val="22"/>
          <w:szCs w:val="22"/>
        </w:rPr>
        <w:t>2.3. El deber y correlativo derecho de definir la situación militar de un menor de edad o un joven mayor de edad a cargo del ICBF en aras de preservar el interés superior de los niños, las niñas y los adolescentes</w:t>
      </w:r>
    </w:p>
    <w:p w14:paraId="104FA7E9" w14:textId="77777777" w:rsidR="00F3271A" w:rsidRPr="00F3271A" w:rsidRDefault="00F3271A" w:rsidP="00F3271A">
      <w:pPr>
        <w:jc w:val="both"/>
        <w:rPr>
          <w:rFonts w:ascii="Verdana" w:hAnsi="Verdana"/>
          <w:sz w:val="22"/>
          <w:szCs w:val="22"/>
        </w:rPr>
      </w:pPr>
      <w:r w:rsidRPr="00F3271A">
        <w:rPr>
          <w:rFonts w:ascii="Verdana" w:hAnsi="Verdana"/>
          <w:sz w:val="22"/>
          <w:szCs w:val="22"/>
        </w:rPr>
        <w:t>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w:t>
      </w:r>
      <w:r w:rsidRPr="00F3271A">
        <w:rPr>
          <w:rFonts w:ascii="Verdana" w:hAnsi="Verdana"/>
          <w:sz w:val="22"/>
          <w:szCs w:val="22"/>
          <w:u w:val="single"/>
        </w:rPr>
        <w:t xml:space="preserve">una consideración </w:t>
      </w:r>
      <w:r w:rsidRPr="00F3271A">
        <w:rPr>
          <w:rFonts w:ascii="Verdana" w:hAnsi="Verdana"/>
          <w:sz w:val="22"/>
          <w:szCs w:val="22"/>
          <w:u w:val="single"/>
        </w:rPr>
        <w:lastRenderedPageBreak/>
        <w:t>primordial a que se atenderá será el interés superior del niño</w:t>
      </w:r>
      <w:r w:rsidRPr="00F3271A">
        <w:rPr>
          <w:rFonts w:ascii="Verdana" w:hAnsi="Verdana"/>
          <w:sz w:val="22"/>
          <w:szCs w:val="22"/>
        </w:rPr>
        <w:t>. (Subraya fuera de texto).</w:t>
      </w:r>
    </w:p>
    <w:p w14:paraId="5AE95EB3" w14:textId="0C7BAF0B" w:rsidR="00F3271A" w:rsidRPr="00F3271A" w:rsidRDefault="00F3271A" w:rsidP="00F3271A">
      <w:pPr>
        <w:jc w:val="both"/>
        <w:rPr>
          <w:rFonts w:ascii="Verdana" w:hAnsi="Verdana"/>
          <w:sz w:val="22"/>
          <w:szCs w:val="22"/>
        </w:rPr>
      </w:pPr>
      <w:r w:rsidRPr="00F3271A">
        <w:rPr>
          <w:rFonts w:ascii="Verdana" w:hAnsi="Verdana"/>
          <w:sz w:val="22"/>
          <w:szCs w:val="22"/>
        </w:rPr>
        <w:t>La Constitución Política en su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45E2D6B0" w14:textId="58F9A382" w:rsidR="00F3271A" w:rsidRPr="00F3271A" w:rsidRDefault="00F3271A" w:rsidP="00F3271A">
      <w:pPr>
        <w:jc w:val="both"/>
        <w:rPr>
          <w:rFonts w:ascii="Verdana" w:hAnsi="Verdana"/>
          <w:sz w:val="22"/>
          <w:szCs w:val="22"/>
        </w:rPr>
      </w:pPr>
      <w:r w:rsidRPr="00F3271A">
        <w:rPr>
          <w:rFonts w:ascii="Verdana" w:hAnsi="Verdana"/>
          <w:sz w:val="22"/>
          <w:szCs w:val="22"/>
        </w:rPr>
        <w:t>Por su parte, en el artículo 8o del Código de la Infancia y la Adolescencia,</w:t>
      </w:r>
      <w:r w:rsidRPr="00F3271A">
        <w:rPr>
          <w:rFonts w:ascii="Verdana" w:hAnsi="Verdana"/>
          <w:b/>
          <w:bCs/>
          <w:sz w:val="22"/>
          <w:szCs w:val="22"/>
          <w:vertAlign w:val="superscript"/>
        </w:rPr>
        <w:t>[5]</w:t>
      </w:r>
      <w:r w:rsidRPr="00F3271A">
        <w:rPr>
          <w:rFonts w:ascii="Verdana" w:hAnsi="Verdana"/>
          <w:sz w:val="22"/>
          <w:szCs w:val="22"/>
        </w:rPr>
        <w:t> se define el interés superior de los niños, las niñas y los adolescentes como (...) el imperativo que obliga a todas las personas a garantizar la satisfacción integral y simultánea de todos sus derechos humanos, que son universales, prevalentes e interdependientes.</w:t>
      </w:r>
    </w:p>
    <w:p w14:paraId="2A52F9BA" w14:textId="27ED1273" w:rsidR="00F3271A" w:rsidRPr="00F3271A" w:rsidRDefault="00F3271A" w:rsidP="00F3271A">
      <w:pPr>
        <w:jc w:val="both"/>
        <w:rPr>
          <w:rFonts w:ascii="Verdana" w:hAnsi="Verdana"/>
          <w:sz w:val="22"/>
          <w:szCs w:val="22"/>
        </w:rPr>
      </w:pPr>
      <w:r w:rsidRPr="00F3271A">
        <w:rPr>
          <w:rFonts w:ascii="Verdana" w:hAnsi="Verdana"/>
          <w:sz w:val="22"/>
          <w:szCs w:val="22"/>
        </w:rPr>
        <w:t>Ahora bien, dado que el requisito de la expedición de la libreta militar comporta un deber establecido por el artículo 10 de la Ley 48 de 1993, en tanto que (...) todo varón colombiano está obligado a definir su situación militar a partir de la fecha en que cumpla su mayoría de edad, a excepción de los estudiantes de bachillerato, quienes definirán cuando obtengan su título de bachiller (...), también implica el correlativo derecho de que se le defina dicha situación militar, para poder certificarla, mediante la expedición de la libreta militar o tarjeta de reservista, en los términos del artículos 30 y 36 de la citada ley. Por ende, la expedición del documento se convierte en un requisito indispensable para ejercer derechos y acceder a diversos empleos o contratos, en los mismos términos del artículo 36 precedente.</w:t>
      </w:r>
    </w:p>
    <w:p w14:paraId="4C431B9A" w14:textId="3AE936B4" w:rsidR="00F3271A" w:rsidRPr="00F3271A" w:rsidRDefault="00F3271A" w:rsidP="00F3271A">
      <w:pPr>
        <w:jc w:val="both"/>
        <w:rPr>
          <w:rFonts w:ascii="Verdana" w:hAnsi="Verdana"/>
          <w:sz w:val="22"/>
          <w:szCs w:val="22"/>
        </w:rPr>
      </w:pPr>
      <w:r w:rsidRPr="00F3271A">
        <w:rPr>
          <w:rFonts w:ascii="Verdana" w:hAnsi="Verdana"/>
          <w:sz w:val="22"/>
          <w:szCs w:val="22"/>
        </w:rPr>
        <w:t>Al ICBF le compete tramitar la obtención de dicho documento para que los menores de edad y jóvenes a su cuidado puedan ejercer plenamente, entre otros, el derecho al trabajo, una vez cumplen con la mayoría de edad y puedan acceder a las oportunidades laborales de que habla el mismo artículo 36 de la Ley 48 de 1993. Incumplir con dicho trámite, pondría a los menores de edad y jóvenes obligados a dar cuenta de su situación militar, a una situación de desprotección e incluso, de vulneración de sus derechos.</w:t>
      </w:r>
    </w:p>
    <w:p w14:paraId="4586C447" w14:textId="2FE93FF8" w:rsidR="00F3271A" w:rsidRPr="00F3271A" w:rsidRDefault="00F3271A" w:rsidP="00F3271A">
      <w:pPr>
        <w:jc w:val="both"/>
        <w:rPr>
          <w:rFonts w:ascii="Verdana" w:hAnsi="Verdana"/>
          <w:sz w:val="22"/>
          <w:szCs w:val="22"/>
        </w:rPr>
      </w:pPr>
      <w:r w:rsidRPr="00F3271A">
        <w:rPr>
          <w:rFonts w:ascii="Verdana" w:hAnsi="Verdana"/>
          <w:sz w:val="22"/>
          <w:szCs w:val="22"/>
        </w:rPr>
        <w:t>En tal sentido y en lo relativo al interés superior de los niños, las niñas y los adolescentes y su derecho a definir dicha situación militar, el ICBF debe tramitar y llevar a cabo todos los procedimientos exigidos para el cumplimiento del deber correlativo, en términos del artículo 10 de la misma Ley 48 de 1993, en el sentido de hacer prevalecer el eximente de prestación del servicio militar y de pago de los costos de expedición de la cuota de compensación militar y de los demás costos de expedición de la libreta militar, en los términos en que lo definió la Corte Constitucional en su sentencia C-586 de 2014:</w:t>
      </w:r>
    </w:p>
    <w:p w14:paraId="5E24AFC2" w14:textId="456D666E" w:rsidR="00F3271A" w:rsidRPr="00F3271A" w:rsidRDefault="00F3271A" w:rsidP="00F3271A">
      <w:pPr>
        <w:jc w:val="both"/>
        <w:rPr>
          <w:rFonts w:ascii="Verdana" w:hAnsi="Verdana"/>
          <w:sz w:val="22"/>
          <w:szCs w:val="22"/>
        </w:rPr>
      </w:pPr>
      <w:r w:rsidRPr="00F3271A">
        <w:rPr>
          <w:rFonts w:ascii="Verdana" w:hAnsi="Verdana"/>
          <w:sz w:val="22"/>
          <w:szCs w:val="22"/>
        </w:rPr>
        <w:lastRenderedPageBreak/>
        <w:t>Al igual que lo ha hecho en anteriores oportunidades en que ha constatado omisiones legislativas en el tratamiento de beneficios tributarios[52], la Corte Constitucional es competente para subsanar la omisión del legislador a través de una sentencia integradora, por lo que procederá a declarar exequible el artículo 6o de la Ley 1184 de 2008, en el entendido que los jóvenes que se encuentren bajo el cuidado del ICBF y que sean eximidos de prestar el servicio militar, también quedarán exentos del pago de la cuota de compensación militar y de los costos de expedición de la libreta militar. Para tal efecto, los beneficiarios deberán aportar copia de la resolución de declaratoria de adoptabilidad y la certificación en la que se haga constar su inclusión en el Listado Censal”.</w:t>
      </w:r>
      <w:r w:rsidRPr="00F3271A">
        <w:rPr>
          <w:rFonts w:ascii="Verdana" w:hAnsi="Verdana"/>
          <w:b/>
          <w:bCs/>
          <w:sz w:val="22"/>
          <w:szCs w:val="22"/>
          <w:vertAlign w:val="superscript"/>
        </w:rPr>
        <w:t>[6]</w:t>
      </w:r>
      <w:r w:rsidRPr="00F3271A">
        <w:rPr>
          <w:rFonts w:ascii="Verdana" w:hAnsi="Verdana"/>
          <w:sz w:val="22"/>
          <w:szCs w:val="22"/>
        </w:rPr>
        <w:t> (Subraya fuera de texto original).</w:t>
      </w:r>
    </w:p>
    <w:p w14:paraId="407788C2" w14:textId="77777777" w:rsidR="00F3271A" w:rsidRPr="00F3271A" w:rsidRDefault="00F3271A" w:rsidP="00F3271A">
      <w:pPr>
        <w:jc w:val="both"/>
        <w:rPr>
          <w:rFonts w:ascii="Verdana" w:hAnsi="Verdana"/>
          <w:sz w:val="22"/>
          <w:szCs w:val="22"/>
        </w:rPr>
      </w:pPr>
      <w:r w:rsidRPr="00F3271A">
        <w:rPr>
          <w:rFonts w:ascii="Verdana" w:hAnsi="Verdana"/>
          <w:b/>
          <w:bCs/>
          <w:sz w:val="22"/>
          <w:szCs w:val="22"/>
        </w:rPr>
        <w:t>2.4. Conclusiones</w:t>
      </w:r>
    </w:p>
    <w:p w14:paraId="44C647CD" w14:textId="77777777" w:rsidR="00F3271A" w:rsidRPr="00F3271A" w:rsidRDefault="00F3271A" w:rsidP="00F3271A">
      <w:pPr>
        <w:jc w:val="both"/>
        <w:rPr>
          <w:rFonts w:ascii="Verdana" w:hAnsi="Verdana"/>
          <w:sz w:val="22"/>
          <w:szCs w:val="22"/>
        </w:rPr>
      </w:pPr>
      <w:r w:rsidRPr="00F3271A">
        <w:rPr>
          <w:rFonts w:ascii="Verdana" w:hAnsi="Verdana"/>
          <w:b/>
          <w:bCs/>
          <w:sz w:val="22"/>
          <w:szCs w:val="22"/>
        </w:rPr>
        <w:t>Primera</w:t>
      </w:r>
      <w:r w:rsidRPr="00F3271A">
        <w:rPr>
          <w:rFonts w:ascii="Verdana" w:hAnsi="Verdana"/>
          <w:sz w:val="22"/>
          <w:szCs w:val="22"/>
        </w:rPr>
        <w:t>: Para los casos de los jóvenes declarados en adoptabilidad que deciden de forma libre y voluntaria prestar el servicio militar, el PARD a su favor no se cierra, el Defensor de Familia deberá suspender la medida, aclarando cuáles es la ubicación actual del joven y comunicando a la Regional, con el fin que se adelanten las gestiones tendientes a garantizar el cupo en la modalidad de atención en la cual se encontraba el joven al momento de ingresar al servicio militar.</w:t>
      </w:r>
    </w:p>
    <w:p w14:paraId="05BD6EB3" w14:textId="53622D84" w:rsidR="00F3271A" w:rsidRPr="00F3271A" w:rsidRDefault="00F3271A" w:rsidP="00F3271A">
      <w:pPr>
        <w:jc w:val="both"/>
        <w:rPr>
          <w:rFonts w:ascii="Verdana" w:hAnsi="Verdana"/>
          <w:sz w:val="22"/>
          <w:szCs w:val="22"/>
        </w:rPr>
      </w:pPr>
      <w:r w:rsidRPr="00F3271A">
        <w:rPr>
          <w:rFonts w:ascii="Verdana" w:hAnsi="Verdana"/>
          <w:b/>
          <w:bCs/>
          <w:sz w:val="22"/>
          <w:szCs w:val="22"/>
        </w:rPr>
        <w:t>Segunda</w:t>
      </w:r>
      <w:r w:rsidRPr="00F3271A">
        <w:rPr>
          <w:rFonts w:ascii="Verdana" w:hAnsi="Verdana"/>
          <w:sz w:val="22"/>
          <w:szCs w:val="22"/>
        </w:rPr>
        <w:t>: En cuanto a la decisión del joven mayor de edad declarado en adoptabilidad que decide- prestar el servicio militar de manera voluntaria, debemos remitimos a la Ley 27 de 1977 que fijó la mayoría de edad a los 18 años, edad a partir de la cual se entiende que tienen capacidad para ejercer determinados actos jurídicos y para ejercer sus derechos civiles, así las cosas, en estos casos, el ICBF no tendría responsabilidad alguna en caso de discapacidad o muerte.</w:t>
      </w:r>
    </w:p>
    <w:p w14:paraId="4F4C79BB" w14:textId="1892C927" w:rsidR="00F3271A" w:rsidRPr="00F3271A" w:rsidRDefault="00F3271A" w:rsidP="00F3271A">
      <w:pPr>
        <w:jc w:val="both"/>
        <w:rPr>
          <w:rFonts w:ascii="Verdana" w:hAnsi="Verdana"/>
          <w:sz w:val="22"/>
          <w:szCs w:val="22"/>
        </w:rPr>
      </w:pPr>
      <w:r w:rsidRPr="00F3271A">
        <w:rPr>
          <w:rFonts w:ascii="Verdana" w:hAnsi="Verdana"/>
          <w:sz w:val="22"/>
          <w:szCs w:val="22"/>
        </w:rPr>
        <w:t>Por último, es preciso indicar que el presente concepto</w:t>
      </w:r>
      <w:r w:rsidRPr="00F3271A">
        <w:rPr>
          <w:rFonts w:ascii="Verdana" w:hAnsi="Verdana"/>
          <w:b/>
          <w:bCs/>
          <w:sz w:val="22"/>
          <w:szCs w:val="22"/>
          <w:vertAlign w:val="superscript"/>
        </w:rPr>
        <w:t>[7]</w:t>
      </w:r>
      <w:r w:rsidRPr="00F3271A">
        <w:rPr>
          <w:rFonts w:ascii="Verdana" w:hAnsi="Verdana"/>
          <w:sz w:val="22"/>
          <w:szCs w:val="22"/>
        </w:rPr>
        <w:t> no es de obligatorio cumplimiento o ejecución para particulares o agentes externos, de conformidad con lo establecido en el artículo 28 de la ley 1437 de 2011,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3E6D752" w14:textId="77777777" w:rsidR="00F3271A" w:rsidRDefault="00F3271A" w:rsidP="00F3271A">
      <w:pPr>
        <w:jc w:val="both"/>
        <w:rPr>
          <w:rFonts w:ascii="Verdana" w:hAnsi="Verdana"/>
          <w:sz w:val="22"/>
          <w:szCs w:val="22"/>
        </w:rPr>
      </w:pPr>
      <w:r w:rsidRPr="00F3271A">
        <w:rPr>
          <w:rFonts w:ascii="Verdana" w:hAnsi="Verdana"/>
          <w:sz w:val="22"/>
          <w:szCs w:val="22"/>
        </w:rPr>
        <w:t>Cordialmente,</w:t>
      </w:r>
    </w:p>
    <w:p w14:paraId="721448C8" w14:textId="77777777" w:rsidR="00F3271A" w:rsidRPr="00F3271A" w:rsidRDefault="00F3271A" w:rsidP="00F3271A">
      <w:pPr>
        <w:jc w:val="both"/>
        <w:rPr>
          <w:rFonts w:ascii="Verdana" w:hAnsi="Verdana"/>
          <w:sz w:val="22"/>
          <w:szCs w:val="22"/>
        </w:rPr>
      </w:pPr>
    </w:p>
    <w:p w14:paraId="09DF3D35" w14:textId="77777777" w:rsidR="00F3271A" w:rsidRPr="00F3271A" w:rsidRDefault="00F3271A" w:rsidP="00F3271A">
      <w:pPr>
        <w:jc w:val="both"/>
        <w:rPr>
          <w:rFonts w:ascii="Verdana" w:hAnsi="Verdana"/>
          <w:sz w:val="22"/>
          <w:szCs w:val="22"/>
        </w:rPr>
      </w:pPr>
      <w:r w:rsidRPr="00F3271A">
        <w:rPr>
          <w:rFonts w:ascii="Verdana" w:hAnsi="Verdana"/>
          <w:b/>
          <w:bCs/>
          <w:sz w:val="22"/>
          <w:szCs w:val="22"/>
        </w:rPr>
        <w:lastRenderedPageBreak/>
        <w:t>LUZ KARIME FERNANDEZ CASTILLO</w:t>
      </w:r>
    </w:p>
    <w:p w14:paraId="543BDA9E" w14:textId="77777777" w:rsidR="00F3271A" w:rsidRDefault="00F3271A" w:rsidP="00F3271A">
      <w:pPr>
        <w:jc w:val="both"/>
        <w:rPr>
          <w:rFonts w:ascii="Verdana" w:hAnsi="Verdana"/>
          <w:sz w:val="22"/>
          <w:szCs w:val="22"/>
        </w:rPr>
      </w:pPr>
      <w:r w:rsidRPr="00F3271A">
        <w:rPr>
          <w:rFonts w:ascii="Verdana" w:hAnsi="Verdana"/>
          <w:sz w:val="22"/>
          <w:szCs w:val="22"/>
        </w:rPr>
        <w:t>Jefe Oficina Asesora Jurídica</w:t>
      </w:r>
    </w:p>
    <w:p w14:paraId="199818BF" w14:textId="77777777" w:rsidR="00F3271A" w:rsidRPr="00F3271A" w:rsidRDefault="00F3271A" w:rsidP="00F3271A">
      <w:pPr>
        <w:jc w:val="both"/>
        <w:rPr>
          <w:rFonts w:ascii="Verdana" w:hAnsi="Verdana"/>
          <w:sz w:val="22"/>
          <w:szCs w:val="22"/>
        </w:rPr>
      </w:pPr>
    </w:p>
    <w:p w14:paraId="173EBA5D" w14:textId="6D1A8BBC" w:rsidR="00F3271A" w:rsidRPr="00F3271A" w:rsidRDefault="00F3271A" w:rsidP="00F3271A">
      <w:pPr>
        <w:jc w:val="both"/>
        <w:rPr>
          <w:rFonts w:ascii="Verdana" w:hAnsi="Verdana"/>
          <w:sz w:val="22"/>
          <w:szCs w:val="22"/>
        </w:rPr>
      </w:pPr>
      <w:r>
        <w:rPr>
          <w:rFonts w:ascii="Verdana" w:hAnsi="Verdana"/>
          <w:b/>
          <w:bCs/>
          <w:sz w:val="22"/>
          <w:szCs w:val="22"/>
        </w:rPr>
        <w:t>Notas pie de página:</w:t>
      </w:r>
    </w:p>
    <w:p w14:paraId="5C8048E4" w14:textId="5F6F67C4" w:rsidR="00F3271A" w:rsidRPr="00F3271A" w:rsidRDefault="00F3271A" w:rsidP="00F3271A">
      <w:pPr>
        <w:jc w:val="both"/>
        <w:rPr>
          <w:rFonts w:ascii="Verdana" w:hAnsi="Verdana"/>
          <w:sz w:val="22"/>
          <w:szCs w:val="22"/>
        </w:rPr>
      </w:pPr>
      <w:bookmarkStart w:id="0" w:name="NF1"/>
      <w:r w:rsidRPr="00F3271A">
        <w:rPr>
          <w:rFonts w:ascii="Verdana" w:hAnsi="Verdana"/>
          <w:sz w:val="22"/>
          <w:szCs w:val="22"/>
        </w:rPr>
        <w:t>1.</w:t>
      </w:r>
      <w:bookmarkEnd w:id="0"/>
      <w:r w:rsidRPr="00F3271A">
        <w:rPr>
          <w:rFonts w:ascii="Verdana" w:hAnsi="Verdana"/>
          <w:sz w:val="22"/>
          <w:szCs w:val="22"/>
        </w:rPr>
        <w:t> Artículo 4o de la Ley 1098 de 2006.</w:t>
      </w:r>
    </w:p>
    <w:p w14:paraId="40793B21" w14:textId="35220B2C" w:rsidR="00F3271A" w:rsidRPr="00F3271A" w:rsidRDefault="00F3271A" w:rsidP="00F3271A">
      <w:pPr>
        <w:jc w:val="both"/>
        <w:rPr>
          <w:rFonts w:ascii="Verdana" w:hAnsi="Verdana"/>
          <w:sz w:val="22"/>
          <w:szCs w:val="22"/>
        </w:rPr>
      </w:pPr>
      <w:bookmarkStart w:id="1" w:name="NF2"/>
      <w:r w:rsidRPr="00F3271A">
        <w:rPr>
          <w:rFonts w:ascii="Verdana" w:hAnsi="Verdana"/>
          <w:sz w:val="22"/>
          <w:szCs w:val="22"/>
        </w:rPr>
        <w:t>2.</w:t>
      </w:r>
      <w:bookmarkEnd w:id="1"/>
      <w:r w:rsidRPr="00F3271A">
        <w:rPr>
          <w:rFonts w:ascii="Verdana" w:hAnsi="Verdana"/>
          <w:sz w:val="22"/>
          <w:szCs w:val="22"/>
        </w:rPr>
        <w:t> Corte Constitucional C-149 del 11 de marzo de 2009 M. P. Dr. Gabriel Eduardo Mendoza Martelo.</w:t>
      </w:r>
    </w:p>
    <w:p w14:paraId="05DE34D6" w14:textId="7647EDB5" w:rsidR="00F3271A" w:rsidRPr="00F3271A" w:rsidRDefault="00F3271A" w:rsidP="00F3271A">
      <w:pPr>
        <w:jc w:val="both"/>
        <w:rPr>
          <w:rFonts w:ascii="Verdana" w:hAnsi="Verdana"/>
          <w:sz w:val="22"/>
          <w:szCs w:val="22"/>
        </w:rPr>
      </w:pPr>
      <w:bookmarkStart w:id="2" w:name="NF3"/>
      <w:r w:rsidRPr="00F3271A">
        <w:rPr>
          <w:rFonts w:ascii="Verdana" w:hAnsi="Verdana"/>
          <w:sz w:val="22"/>
          <w:szCs w:val="22"/>
        </w:rPr>
        <w:t>3.</w:t>
      </w:r>
      <w:bookmarkEnd w:id="2"/>
      <w:r w:rsidRPr="00F3271A">
        <w:rPr>
          <w:rFonts w:ascii="Verdana" w:hAnsi="Verdana"/>
          <w:sz w:val="22"/>
          <w:szCs w:val="22"/>
        </w:rPr>
        <w:t xml:space="preserve"> Corte Constitucional. Sentencia C-690/08 D. 6939 M. P. Nilson Pinilla </w:t>
      </w:r>
      <w:proofErr w:type="spellStart"/>
      <w:r w:rsidRPr="00F3271A">
        <w:rPr>
          <w:rFonts w:ascii="Verdana" w:hAnsi="Verdana"/>
          <w:sz w:val="22"/>
          <w:szCs w:val="22"/>
        </w:rPr>
        <w:t>Pinilla</w:t>
      </w:r>
      <w:proofErr w:type="spellEnd"/>
      <w:r w:rsidRPr="00F3271A">
        <w:rPr>
          <w:rFonts w:ascii="Verdana" w:hAnsi="Verdana"/>
          <w:sz w:val="22"/>
          <w:szCs w:val="22"/>
        </w:rPr>
        <w:t>.</w:t>
      </w:r>
    </w:p>
    <w:p w14:paraId="389DB309" w14:textId="6843743E" w:rsidR="00F3271A" w:rsidRPr="00F3271A" w:rsidRDefault="00F3271A" w:rsidP="00F3271A">
      <w:pPr>
        <w:jc w:val="both"/>
        <w:rPr>
          <w:rFonts w:ascii="Verdana" w:hAnsi="Verdana"/>
          <w:sz w:val="22"/>
          <w:szCs w:val="22"/>
          <w:lang w:val="pt-PT"/>
        </w:rPr>
      </w:pPr>
      <w:bookmarkStart w:id="3" w:name="NF4"/>
      <w:r w:rsidRPr="00F3271A">
        <w:rPr>
          <w:rFonts w:ascii="Verdana" w:hAnsi="Verdana"/>
          <w:sz w:val="22"/>
          <w:szCs w:val="22"/>
          <w:lang w:val="pt-PT"/>
        </w:rPr>
        <w:t>4.</w:t>
      </w:r>
      <w:bookmarkEnd w:id="3"/>
      <w:r w:rsidRPr="00F3271A">
        <w:rPr>
          <w:rFonts w:ascii="Verdana" w:hAnsi="Verdana"/>
          <w:sz w:val="22"/>
          <w:szCs w:val="22"/>
          <w:lang w:val="pt-PT"/>
        </w:rPr>
        <w:t> T-671-10 M. P. Dr. JORGE IGNACIO PRETELT CHALJUB</w:t>
      </w:r>
    </w:p>
    <w:p w14:paraId="14EA2A14" w14:textId="4D31F565" w:rsidR="00F3271A" w:rsidRPr="00F3271A" w:rsidRDefault="00F3271A" w:rsidP="00F3271A">
      <w:pPr>
        <w:jc w:val="both"/>
        <w:rPr>
          <w:rFonts w:ascii="Verdana" w:hAnsi="Verdana"/>
          <w:sz w:val="22"/>
          <w:szCs w:val="22"/>
        </w:rPr>
      </w:pPr>
      <w:bookmarkStart w:id="4" w:name="NF5"/>
      <w:r w:rsidRPr="00F3271A">
        <w:rPr>
          <w:rFonts w:ascii="Verdana" w:hAnsi="Verdana"/>
          <w:sz w:val="22"/>
          <w:szCs w:val="22"/>
        </w:rPr>
        <w:t>5.</w:t>
      </w:r>
      <w:bookmarkEnd w:id="4"/>
      <w:r w:rsidRPr="00F3271A">
        <w:rPr>
          <w:rFonts w:ascii="Verdana" w:hAnsi="Verdana"/>
          <w:sz w:val="22"/>
          <w:szCs w:val="22"/>
        </w:rPr>
        <w:t> Ley 1098 de 8 de noviembre de 2006.</w:t>
      </w:r>
    </w:p>
    <w:p w14:paraId="765CF184" w14:textId="0BAC4E3F" w:rsidR="00F3271A" w:rsidRPr="00F3271A" w:rsidRDefault="00F3271A" w:rsidP="00F3271A">
      <w:pPr>
        <w:jc w:val="both"/>
        <w:rPr>
          <w:rFonts w:ascii="Verdana" w:hAnsi="Verdana"/>
          <w:sz w:val="22"/>
          <w:szCs w:val="22"/>
        </w:rPr>
      </w:pPr>
      <w:bookmarkStart w:id="5" w:name="NF6"/>
      <w:r w:rsidRPr="00F3271A">
        <w:rPr>
          <w:rFonts w:ascii="Verdana" w:hAnsi="Verdana"/>
          <w:sz w:val="22"/>
          <w:szCs w:val="22"/>
          <w:lang w:val="pt-PT"/>
        </w:rPr>
        <w:t>6.</w:t>
      </w:r>
      <w:bookmarkEnd w:id="5"/>
      <w:r w:rsidRPr="00F3271A">
        <w:rPr>
          <w:rFonts w:ascii="Verdana" w:hAnsi="Verdana"/>
          <w:sz w:val="22"/>
          <w:szCs w:val="22"/>
          <w:lang w:val="pt-PT"/>
        </w:rPr>
        <w:t xml:space="preserve"> Corte Constitucional. Sentencia C-586 de 13 de agosto de 2014. </w:t>
      </w:r>
      <w:r w:rsidRPr="00F3271A">
        <w:rPr>
          <w:rFonts w:ascii="Verdana" w:hAnsi="Verdana"/>
          <w:sz w:val="22"/>
          <w:szCs w:val="22"/>
        </w:rPr>
        <w:t>M.P.: María Victoria Calle Correa.</w:t>
      </w:r>
    </w:p>
    <w:p w14:paraId="66AA5441" w14:textId="653A6A16" w:rsidR="00F3271A" w:rsidRPr="00F3271A" w:rsidRDefault="00F3271A" w:rsidP="00F3271A">
      <w:pPr>
        <w:jc w:val="both"/>
        <w:rPr>
          <w:rFonts w:ascii="Verdana" w:hAnsi="Verdana"/>
          <w:sz w:val="22"/>
          <w:szCs w:val="22"/>
        </w:rPr>
      </w:pPr>
      <w:bookmarkStart w:id="6" w:name="NF7"/>
      <w:r w:rsidRPr="00F3271A">
        <w:rPr>
          <w:rFonts w:ascii="Verdana" w:hAnsi="Verdana"/>
          <w:sz w:val="22"/>
          <w:szCs w:val="22"/>
        </w:rPr>
        <w:t>7.</w:t>
      </w:r>
      <w:bookmarkEnd w:id="6"/>
      <w:r w:rsidRPr="00F3271A">
        <w:rPr>
          <w:rFonts w:ascii="Verdana" w:hAnsi="Verdana"/>
          <w:sz w:val="22"/>
          <w:szCs w:val="22"/>
        </w:rPr>
        <w:t>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de forma cómo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M.P. Antonio Barrera Carbonel.</w:t>
      </w:r>
    </w:p>
    <w:p w14:paraId="0B11FE88" w14:textId="77777777" w:rsidR="00F3271A" w:rsidRPr="00F3271A" w:rsidRDefault="00F3271A" w:rsidP="00F3271A">
      <w:pPr>
        <w:jc w:val="both"/>
        <w:rPr>
          <w:rFonts w:ascii="Verdana" w:hAnsi="Verdana"/>
          <w:sz w:val="22"/>
          <w:szCs w:val="22"/>
        </w:rPr>
      </w:pPr>
    </w:p>
    <w:sectPr w:rsidR="00F3271A" w:rsidRPr="00F327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F3271A"/>
    <w:rsid w:val="00FA6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79B9"/>
  <w15:chartTrackingRefBased/>
  <w15:docId w15:val="{8266A44D-73A9-42C3-AE11-444B06D2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2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32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327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327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327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327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27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27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27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27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327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327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327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327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327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27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27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271A"/>
    <w:rPr>
      <w:rFonts w:eastAsiaTheme="majorEastAsia" w:cstheme="majorBidi"/>
      <w:color w:val="272727" w:themeColor="text1" w:themeTint="D8"/>
    </w:rPr>
  </w:style>
  <w:style w:type="paragraph" w:styleId="Ttulo">
    <w:name w:val="Title"/>
    <w:basedOn w:val="Normal"/>
    <w:next w:val="Normal"/>
    <w:link w:val="TtuloCar"/>
    <w:uiPriority w:val="10"/>
    <w:qFormat/>
    <w:rsid w:val="00F32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27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27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27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271A"/>
    <w:pPr>
      <w:spacing w:before="160"/>
      <w:jc w:val="center"/>
    </w:pPr>
    <w:rPr>
      <w:i/>
      <w:iCs/>
      <w:color w:val="404040" w:themeColor="text1" w:themeTint="BF"/>
    </w:rPr>
  </w:style>
  <w:style w:type="character" w:customStyle="1" w:styleId="CitaCar">
    <w:name w:val="Cita Car"/>
    <w:basedOn w:val="Fuentedeprrafopredeter"/>
    <w:link w:val="Cita"/>
    <w:uiPriority w:val="29"/>
    <w:rsid w:val="00F3271A"/>
    <w:rPr>
      <w:i/>
      <w:iCs/>
      <w:color w:val="404040" w:themeColor="text1" w:themeTint="BF"/>
    </w:rPr>
  </w:style>
  <w:style w:type="paragraph" w:styleId="Prrafodelista">
    <w:name w:val="List Paragraph"/>
    <w:basedOn w:val="Normal"/>
    <w:uiPriority w:val="34"/>
    <w:qFormat/>
    <w:rsid w:val="00F3271A"/>
    <w:pPr>
      <w:ind w:left="720"/>
      <w:contextualSpacing/>
    </w:pPr>
  </w:style>
  <w:style w:type="character" w:styleId="nfasisintenso">
    <w:name w:val="Intense Emphasis"/>
    <w:basedOn w:val="Fuentedeprrafopredeter"/>
    <w:uiPriority w:val="21"/>
    <w:qFormat/>
    <w:rsid w:val="00F3271A"/>
    <w:rPr>
      <w:i/>
      <w:iCs/>
      <w:color w:val="0F4761" w:themeColor="accent1" w:themeShade="BF"/>
    </w:rPr>
  </w:style>
  <w:style w:type="paragraph" w:styleId="Citadestacada">
    <w:name w:val="Intense Quote"/>
    <w:basedOn w:val="Normal"/>
    <w:next w:val="Normal"/>
    <w:link w:val="CitadestacadaCar"/>
    <w:uiPriority w:val="30"/>
    <w:qFormat/>
    <w:rsid w:val="00F32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3271A"/>
    <w:rPr>
      <w:i/>
      <w:iCs/>
      <w:color w:val="0F4761" w:themeColor="accent1" w:themeShade="BF"/>
    </w:rPr>
  </w:style>
  <w:style w:type="character" w:styleId="Referenciaintensa">
    <w:name w:val="Intense Reference"/>
    <w:basedOn w:val="Fuentedeprrafopredeter"/>
    <w:uiPriority w:val="32"/>
    <w:qFormat/>
    <w:rsid w:val="00F3271A"/>
    <w:rPr>
      <w:b/>
      <w:bCs/>
      <w:smallCaps/>
      <w:color w:val="0F4761" w:themeColor="accent1" w:themeShade="BF"/>
      <w:spacing w:val="5"/>
    </w:rPr>
  </w:style>
  <w:style w:type="character" w:styleId="Hipervnculo">
    <w:name w:val="Hyperlink"/>
    <w:basedOn w:val="Fuentedeprrafopredeter"/>
    <w:uiPriority w:val="99"/>
    <w:unhideWhenUsed/>
    <w:rsid w:val="00F3271A"/>
    <w:rPr>
      <w:color w:val="467886" w:themeColor="hyperlink"/>
      <w:u w:val="single"/>
    </w:rPr>
  </w:style>
  <w:style w:type="character" w:styleId="Mencinsinresolver">
    <w:name w:val="Unresolved Mention"/>
    <w:basedOn w:val="Fuentedeprrafopredeter"/>
    <w:uiPriority w:val="99"/>
    <w:semiHidden/>
    <w:unhideWhenUsed/>
    <w:rsid w:val="00F32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FDA02-C081-4DD7-8366-3DF4C3FBF373}"/>
</file>

<file path=customXml/itemProps2.xml><?xml version="1.0" encoding="utf-8"?>
<ds:datastoreItem xmlns:ds="http://schemas.openxmlformats.org/officeDocument/2006/customXml" ds:itemID="{6E1CA30B-E69F-4B29-A42E-E0B45579B034}"/>
</file>

<file path=customXml/itemProps3.xml><?xml version="1.0" encoding="utf-8"?>
<ds:datastoreItem xmlns:ds="http://schemas.openxmlformats.org/officeDocument/2006/customXml" ds:itemID="{47FC79C5-A3D6-4851-94A6-1894C3F3AFB5}"/>
</file>

<file path=docProps/app.xml><?xml version="1.0" encoding="utf-8"?>
<Properties xmlns="http://schemas.openxmlformats.org/officeDocument/2006/extended-properties" xmlns:vt="http://schemas.openxmlformats.org/officeDocument/2006/docPropsVTypes">
  <Template>Normal</Template>
  <TotalTime>1</TotalTime>
  <Pages>1</Pages>
  <Words>2237</Words>
  <Characters>12309</Characters>
  <Application>Microsoft Office Word</Application>
  <DocSecurity>0</DocSecurity>
  <Lines>102</Lines>
  <Paragraphs>29</Paragraphs>
  <ScaleCrop>false</ScaleCrop>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2026-04-29T16:57:00Z</dcterms:created>
  <dcterms:modified xsi:type="dcterms:W3CDTF">2026-04-29T16:58:00Z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