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683" w:rsidP="003E6683" w:rsidRDefault="003E6683" w14:paraId="3AA53AC8" w14:textId="6A7A7A57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CONCEPTO No. 8 DE 2024</w:t>
      </w:r>
    </w:p>
    <w:p w:rsidR="003E6683" w:rsidP="003E6683" w:rsidRDefault="003E6683" w14:paraId="5D020811" w14:textId="77777777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</w:p>
    <w:p w:rsidR="003E6683" w:rsidP="003E6683" w:rsidRDefault="003E6683" w14:paraId="3BFB4B11" w14:textId="064C9AE4">
      <w:pPr>
        <w:pStyle w:val="Sinespaciad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(22 de julio)</w:t>
      </w:r>
    </w:p>
    <w:p w:rsidR="003E6683" w:rsidP="003E6683" w:rsidRDefault="003E6683" w14:paraId="5867D950" w14:textId="77777777">
      <w:pPr>
        <w:pStyle w:val="Sinespaciado"/>
        <w:jc w:val="center"/>
        <w:rPr>
          <w:rFonts w:ascii="Verdana" w:hAnsi="Verdana"/>
          <w:sz w:val="22"/>
          <w:szCs w:val="22"/>
        </w:rPr>
      </w:pPr>
    </w:p>
    <w:p w:rsidRPr="003E6683" w:rsidR="003E6683" w:rsidP="167A11AF" w:rsidRDefault="003E6683" w14:paraId="20529C19" w14:textId="2361E8A3">
      <w:pPr>
        <w:pStyle w:val="Sinespaciado"/>
        <w:jc w:val="center"/>
        <w:rPr>
          <w:rFonts w:ascii="Verdana" w:hAnsi="Verdana" w:eastAsia="Verdana" w:cs="Verdana"/>
          <w:noProof w:val="0"/>
          <w:sz w:val="22"/>
          <w:szCs w:val="22"/>
          <w:lang w:val="es-CO"/>
        </w:rPr>
      </w:pPr>
      <w:r w:rsidRPr="167A11AF" w:rsidR="5323C204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>INSTITUTO COLOMBIANO DE BIENESTAR FAMILIAR</w:t>
      </w:r>
    </w:p>
    <w:p w:rsidR="003E6683" w:rsidP="003E6683" w:rsidRDefault="003E6683" w14:paraId="1EF71562" w14:textId="77777777">
      <w:pPr>
        <w:pStyle w:val="Sinespaciado"/>
        <w:rPr>
          <w:rFonts w:ascii="Verdana" w:hAnsi="Verdana"/>
          <w:b/>
          <w:bCs/>
          <w:sz w:val="22"/>
          <w:szCs w:val="22"/>
        </w:rPr>
      </w:pPr>
    </w:p>
    <w:p w:rsidRPr="003E6683" w:rsidR="003E6683" w:rsidP="003E6683" w:rsidRDefault="003E6683" w14:paraId="1E0B5B1D" w14:textId="1C3B369D">
      <w:pPr>
        <w:pStyle w:val="Sinespaciado"/>
        <w:rPr>
          <w:rFonts w:ascii="Verdana" w:hAnsi="Verdana"/>
          <w:b/>
          <w:bCs/>
          <w:sz w:val="22"/>
          <w:szCs w:val="22"/>
        </w:rPr>
      </w:pPr>
      <w:r w:rsidRPr="003E6683">
        <w:rPr>
          <w:rFonts w:ascii="Verdana" w:hAnsi="Verdana"/>
          <w:b/>
          <w:bCs/>
          <w:sz w:val="22"/>
          <w:szCs w:val="22"/>
        </w:rPr>
        <w:t xml:space="preserve">Para: </w:t>
      </w:r>
      <w:r>
        <w:rPr>
          <w:rFonts w:ascii="Verdana" w:hAnsi="Verdana"/>
          <w:b/>
          <w:bCs/>
          <w:sz w:val="22"/>
          <w:szCs w:val="22"/>
        </w:rPr>
        <w:tab/>
      </w:r>
      <w:r w:rsidRPr="003E6683">
        <w:rPr>
          <w:rFonts w:ascii="Verdana" w:hAnsi="Verdana"/>
          <w:b/>
          <w:bCs/>
          <w:sz w:val="22"/>
          <w:szCs w:val="22"/>
        </w:rPr>
        <w:t>Magally Macías Acevedo</w:t>
      </w:r>
    </w:p>
    <w:p w:rsidR="003E6683" w:rsidP="003E6683" w:rsidRDefault="003E6683" w14:paraId="34B33370" w14:textId="77777777">
      <w:pPr>
        <w:pStyle w:val="Sinespaciado"/>
        <w:ind w:left="708" w:firstLine="708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Directora de Protección (E)</w:t>
      </w:r>
    </w:p>
    <w:p w:rsidRPr="003E6683" w:rsidR="003E6683" w:rsidP="003E6683" w:rsidRDefault="003E6683" w14:paraId="0D681475" w14:textId="77777777">
      <w:pPr>
        <w:pStyle w:val="Sinespaciado"/>
        <w:rPr>
          <w:rFonts w:ascii="Verdana" w:hAnsi="Verdana"/>
          <w:sz w:val="22"/>
          <w:szCs w:val="22"/>
        </w:rPr>
      </w:pPr>
    </w:p>
    <w:p w:rsidR="003E6683" w:rsidP="003E6683" w:rsidRDefault="003E6683" w14:paraId="656E3CC2" w14:textId="4637ECD5">
      <w:pPr>
        <w:pStyle w:val="Sinespaciado"/>
        <w:rPr>
          <w:rFonts w:ascii="Verdana" w:hAnsi="Verdana"/>
          <w:b/>
          <w:bCs/>
          <w:sz w:val="22"/>
          <w:szCs w:val="22"/>
        </w:rPr>
      </w:pPr>
      <w:r w:rsidRPr="003E6683">
        <w:rPr>
          <w:rFonts w:ascii="Verdana" w:hAnsi="Verdana"/>
          <w:b/>
          <w:bCs/>
          <w:sz w:val="22"/>
          <w:szCs w:val="22"/>
        </w:rPr>
        <w:t>Asunto:</w:t>
      </w:r>
      <w:r>
        <w:rPr>
          <w:rFonts w:ascii="Verdana" w:hAnsi="Verdana"/>
          <w:b/>
          <w:bCs/>
          <w:sz w:val="22"/>
          <w:szCs w:val="22"/>
        </w:rPr>
        <w:tab/>
      </w:r>
      <w:r w:rsidRPr="003E6683">
        <w:rPr>
          <w:rFonts w:ascii="Verdana" w:hAnsi="Verdana"/>
          <w:b/>
          <w:bCs/>
          <w:sz w:val="22"/>
          <w:szCs w:val="22"/>
        </w:rPr>
        <w:t>Respuesta - Concepto jurídico frente al permiso de salida del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3E6683">
        <w:rPr>
          <w:rFonts w:ascii="Verdana" w:hAnsi="Verdana"/>
          <w:b/>
          <w:bCs/>
          <w:sz w:val="22"/>
          <w:szCs w:val="22"/>
        </w:rPr>
        <w:t>país para niños, niñas y adolescentes beneficiarios del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3E6683">
        <w:rPr>
          <w:rFonts w:ascii="Verdana" w:hAnsi="Verdana"/>
          <w:b/>
          <w:bCs/>
          <w:sz w:val="22"/>
          <w:szCs w:val="22"/>
        </w:rPr>
        <w:t xml:space="preserve">Permiso por Protección Temporal </w:t>
      </w:r>
      <w:r>
        <w:rPr>
          <w:rFonts w:ascii="Verdana" w:hAnsi="Verdana"/>
          <w:b/>
          <w:bCs/>
          <w:sz w:val="22"/>
          <w:szCs w:val="22"/>
        </w:rPr>
        <w:t>–</w:t>
      </w:r>
      <w:r w:rsidRPr="003E6683">
        <w:rPr>
          <w:rFonts w:ascii="Verdana" w:hAnsi="Verdana"/>
          <w:b/>
          <w:bCs/>
          <w:sz w:val="22"/>
          <w:szCs w:val="22"/>
        </w:rPr>
        <w:t xml:space="preserve"> PPT</w:t>
      </w:r>
    </w:p>
    <w:p w:rsidRPr="003E6683" w:rsidR="003E6683" w:rsidP="003E6683" w:rsidRDefault="003E6683" w14:paraId="365FA474" w14:textId="77777777">
      <w:pPr>
        <w:pStyle w:val="Sinespaciado"/>
        <w:rPr>
          <w:rFonts w:ascii="Verdana" w:hAnsi="Verdana"/>
          <w:b/>
          <w:bCs/>
          <w:sz w:val="22"/>
          <w:szCs w:val="22"/>
        </w:rPr>
      </w:pPr>
    </w:p>
    <w:p w:rsidRPr="003E6683" w:rsidR="003E6683" w:rsidP="003E6683" w:rsidRDefault="003E6683" w14:paraId="498083C8" w14:textId="78461393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De manera atenta esta Oficina procede a emitir el concepto solicitado por su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área, correspondiente a la aplicabilidad del procedimiento de permiso de salida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del país, contenido en el artículo 110 de la Ley 1098 de 2006 para los casos de</w:t>
      </w:r>
    </w:p>
    <w:p w:rsidRPr="003E6683" w:rsidR="003E6683" w:rsidP="003E6683" w:rsidRDefault="003E6683" w14:paraId="624C7DB9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niños, niñas y adolescentes venezolanos que posean el permiso por protección</w:t>
      </w:r>
    </w:p>
    <w:p w:rsidR="003E6683" w:rsidP="003E6683" w:rsidRDefault="003E6683" w14:paraId="2B801BE4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temporal (PPT) y alguno de los padres no puede otorgar dicho permiso.</w:t>
      </w:r>
    </w:p>
    <w:p w:rsidRPr="003E6683" w:rsidR="003E6683" w:rsidP="003E6683" w:rsidRDefault="003E6683" w14:paraId="7F0263EF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3E6683" w:rsidR="003E6683" w:rsidP="003E6683" w:rsidRDefault="003E6683" w14:paraId="564019D4" w14:textId="15955165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Se debe indicar que los conceptos jurídicos proferidos por esta Oficina Asesora se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realizan en términos generales y abstractos, y no sobre casos particulares ni</w:t>
      </w:r>
    </w:p>
    <w:p w:rsidR="003E6683" w:rsidP="003E6683" w:rsidRDefault="003E6683" w14:paraId="4AC5340F" w14:textId="37FA0C62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aspectos específicos de un proceso que sea de competencia de los Defensores de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Familia o de los Jueces de la República, según el caso.</w:t>
      </w:r>
    </w:p>
    <w:p w:rsidRPr="003E6683" w:rsidR="003E6683" w:rsidP="003E6683" w:rsidRDefault="003E6683" w14:paraId="0BCC5B6D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3E6683" w:rsidR="003E6683" w:rsidP="003E6683" w:rsidRDefault="003E6683" w14:paraId="7E192BA1" w14:textId="48E7474A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Previo análisis del ordenamiento jurídico vigente y con fundamento en los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artículos 23 y 44 de la Constitución Política; 26 y 76 a 86 del Código Civil; 13 del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C.P.A.C.A, sustituido por el artículo 1 de la Ley 1755 de 2015; el artículo 1 y el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110 de la Ley 1098 de 2006, modificado por la Ley 1878 de 2018; la Ley 2332 de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2023; el numeral 4 del artículo 6 del Decreto 987 de 2012, el Decreto 216 de</w:t>
      </w:r>
    </w:p>
    <w:p w:rsidRPr="003E6683" w:rsidR="003E6683" w:rsidP="003E6683" w:rsidRDefault="003E6683" w14:paraId="23FFF0FB" w14:textId="3DB5C896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2021;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la Resolución de Migración Colombia No. 971 de 2021; y las sentencias de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la Corte Constitucional C-109 de 1995, C-223 de 2017 y T-356 de 2023, se</w:t>
      </w:r>
    </w:p>
    <w:p w:rsidR="003E6683" w:rsidP="003E6683" w:rsidRDefault="003E6683" w14:paraId="2CCC9411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procede a dar respuesta en los términos que siguen:</w:t>
      </w:r>
    </w:p>
    <w:p w:rsidRPr="003E6683" w:rsidR="003E6683" w:rsidP="003E6683" w:rsidRDefault="003E6683" w14:paraId="17B1C491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3E6683" w:rsidP="003E6683" w:rsidRDefault="003E6683" w14:paraId="0670ACA1" w14:textId="26A6001F">
      <w:pPr>
        <w:pStyle w:val="Sinespaciado"/>
        <w:numPr>
          <w:ilvl w:val="0"/>
          <w:numId w:val="1"/>
        </w:numPr>
        <w:jc w:val="both"/>
        <w:rPr>
          <w:rFonts w:ascii="Verdana" w:hAnsi="Verdana"/>
          <w:b/>
          <w:bCs/>
          <w:sz w:val="22"/>
          <w:szCs w:val="22"/>
        </w:rPr>
      </w:pPr>
      <w:r w:rsidRPr="003E6683">
        <w:rPr>
          <w:rFonts w:ascii="Verdana" w:hAnsi="Verdana"/>
          <w:b/>
          <w:bCs/>
          <w:sz w:val="22"/>
          <w:szCs w:val="22"/>
        </w:rPr>
        <w:t>PROBLEMA JURÍDICO</w:t>
      </w:r>
    </w:p>
    <w:p w:rsidR="003E6683" w:rsidP="003E6683" w:rsidRDefault="003E6683" w14:paraId="2B5CEABC" w14:textId="77777777">
      <w:pPr>
        <w:pStyle w:val="Sinespaciado"/>
        <w:jc w:val="both"/>
        <w:rPr>
          <w:rFonts w:ascii="Verdana" w:hAnsi="Verdana"/>
          <w:b/>
          <w:bCs/>
          <w:sz w:val="22"/>
          <w:szCs w:val="22"/>
        </w:rPr>
      </w:pPr>
    </w:p>
    <w:p w:rsidRPr="003E6683" w:rsidR="003E6683" w:rsidP="003E6683" w:rsidRDefault="003E6683" w14:paraId="2D78BD00" w14:textId="603D35FB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De conformidad con la solicitud de concepto por parte de la Dirección de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Protección, mediante memorando No. 202420000000082173 del 26 de junio de</w:t>
      </w:r>
    </w:p>
    <w:p w:rsidR="003E6683" w:rsidP="003E6683" w:rsidRDefault="003E6683" w14:paraId="31DEDE38" w14:textId="48924971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2024, considera esta oficina que el problema jurídico que se desprende es el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siguiente:</w:t>
      </w:r>
    </w:p>
    <w:p w:rsidRPr="003E6683" w:rsidR="003E6683" w:rsidP="003E6683" w:rsidRDefault="003E6683" w14:paraId="52EC8FF0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3E6683" w:rsidP="003E6683" w:rsidRDefault="003E6683" w14:paraId="6B7CC5E2" w14:textId="78D4237C">
      <w:pPr>
        <w:pStyle w:val="Sinespaciado"/>
        <w:jc w:val="both"/>
        <w:rPr>
          <w:rFonts w:ascii="Verdana" w:hAnsi="Verdana"/>
          <w:b/>
          <w:bCs/>
          <w:sz w:val="22"/>
          <w:szCs w:val="22"/>
        </w:rPr>
      </w:pPr>
      <w:r w:rsidRPr="003E6683">
        <w:rPr>
          <w:rFonts w:ascii="Verdana" w:hAnsi="Verdana"/>
          <w:b/>
          <w:bCs/>
          <w:sz w:val="22"/>
          <w:szCs w:val="22"/>
        </w:rPr>
        <w:t>¿Las autoridades administrativas son competentes para otorgar el</w:t>
      </w:r>
      <w:r>
        <w:rPr>
          <w:rFonts w:ascii="Verdana" w:hAnsi="Verdana"/>
          <w:b/>
          <w:bCs/>
          <w:sz w:val="22"/>
          <w:szCs w:val="22"/>
        </w:rPr>
        <w:t xml:space="preserve"> p</w:t>
      </w:r>
      <w:r w:rsidRPr="003E6683">
        <w:rPr>
          <w:rFonts w:ascii="Verdana" w:hAnsi="Verdana"/>
          <w:b/>
          <w:bCs/>
          <w:sz w:val="22"/>
          <w:szCs w:val="22"/>
        </w:rPr>
        <w:t>ermiso de salida del país contemplado en el artículo 110 del Código de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3E6683">
        <w:rPr>
          <w:rFonts w:ascii="Verdana" w:hAnsi="Verdana"/>
          <w:b/>
          <w:bCs/>
          <w:sz w:val="22"/>
          <w:szCs w:val="22"/>
        </w:rPr>
        <w:t>la Infancia y la Adolescencia en favor de niños, niñas y adolescentes sin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3E6683">
        <w:rPr>
          <w:rFonts w:ascii="Verdana" w:hAnsi="Verdana"/>
          <w:b/>
          <w:bCs/>
          <w:sz w:val="22"/>
          <w:szCs w:val="22"/>
        </w:rPr>
        <w:lastRenderedPageBreak/>
        <w:t>padres o representantes legales que puedan otorgarlo y que sean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3E6683">
        <w:rPr>
          <w:rFonts w:ascii="Verdana" w:hAnsi="Verdana"/>
          <w:b/>
          <w:bCs/>
          <w:sz w:val="22"/>
          <w:szCs w:val="22"/>
        </w:rPr>
        <w:t>portadores del Permiso por Protección Temporal -PPT?</w:t>
      </w:r>
    </w:p>
    <w:p w:rsidRPr="003E6683" w:rsidR="003E6683" w:rsidP="003E6683" w:rsidRDefault="003E6683" w14:paraId="28F31573" w14:textId="77777777">
      <w:pPr>
        <w:pStyle w:val="Sinespaciado"/>
        <w:jc w:val="both"/>
        <w:rPr>
          <w:rFonts w:ascii="Verdana" w:hAnsi="Verdana"/>
          <w:b/>
          <w:bCs/>
          <w:sz w:val="22"/>
          <w:szCs w:val="22"/>
        </w:rPr>
      </w:pPr>
    </w:p>
    <w:p w:rsidR="003E6683" w:rsidP="003E6683" w:rsidRDefault="003E6683" w14:paraId="2CC04DBD" w14:textId="67C90AA5">
      <w:pPr>
        <w:pStyle w:val="Sinespaciado"/>
        <w:numPr>
          <w:ilvl w:val="0"/>
          <w:numId w:val="1"/>
        </w:numPr>
        <w:jc w:val="both"/>
        <w:rPr>
          <w:rFonts w:ascii="Verdana" w:hAnsi="Verdana"/>
          <w:b/>
          <w:bCs/>
          <w:sz w:val="22"/>
          <w:szCs w:val="22"/>
        </w:rPr>
      </w:pPr>
      <w:r w:rsidRPr="003E6683">
        <w:rPr>
          <w:rFonts w:ascii="Verdana" w:hAnsi="Verdana"/>
          <w:b/>
          <w:bCs/>
          <w:sz w:val="22"/>
          <w:szCs w:val="22"/>
        </w:rPr>
        <w:t>ANALISIS DEL PROBLEMA JURÍDICO</w:t>
      </w:r>
    </w:p>
    <w:p w:rsidRPr="003E6683" w:rsidR="003E6683" w:rsidP="003E6683" w:rsidRDefault="003E6683" w14:paraId="7B578653" w14:textId="77777777">
      <w:pPr>
        <w:pStyle w:val="Sinespaciado"/>
        <w:ind w:left="720"/>
        <w:jc w:val="both"/>
        <w:rPr>
          <w:rFonts w:ascii="Verdana" w:hAnsi="Verdana"/>
          <w:b/>
          <w:bCs/>
          <w:sz w:val="22"/>
          <w:szCs w:val="22"/>
        </w:rPr>
      </w:pPr>
    </w:p>
    <w:p w:rsidRPr="003E6683" w:rsidR="003E6683" w:rsidP="003E6683" w:rsidRDefault="003E6683" w14:paraId="211417F9" w14:textId="70B4C813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Para dar respuesta a la solicitud del concepto jurídico planteado, esta Oficina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desarrollará la respuesta de acuerdo con los siguientes postulados: 2.1 El marco</w:t>
      </w:r>
    </w:p>
    <w:p w:rsidR="003E6683" w:rsidP="003E6683" w:rsidRDefault="003E6683" w14:paraId="65F0097F" w14:textId="7C5CF066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jurídico aplicable al permiso de salida del país de niños, niñas y adolescentes;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2.2. Niños, niñas y adolescentes con residencia en el extranjero; 2.3. Permiso por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Protección Temporal (PPT) y 2.4. Domicilio y residencia.</w:t>
      </w:r>
    </w:p>
    <w:p w:rsidRPr="003E6683" w:rsidR="003E6683" w:rsidP="003E6683" w:rsidRDefault="003E6683" w14:paraId="76F771BB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3E6683" w:rsidP="003E6683" w:rsidRDefault="003E6683" w14:paraId="2CB88369" w14:textId="01F43E89">
      <w:pPr>
        <w:pStyle w:val="Sinespaciado"/>
        <w:numPr>
          <w:ilvl w:val="1"/>
          <w:numId w:val="1"/>
        </w:numPr>
        <w:jc w:val="both"/>
        <w:rPr>
          <w:rFonts w:ascii="Verdana" w:hAnsi="Verdana"/>
          <w:b/>
          <w:bCs/>
          <w:sz w:val="22"/>
          <w:szCs w:val="22"/>
        </w:rPr>
      </w:pPr>
      <w:r w:rsidRPr="003E6683">
        <w:rPr>
          <w:rFonts w:ascii="Verdana" w:hAnsi="Verdana"/>
          <w:b/>
          <w:bCs/>
          <w:sz w:val="22"/>
          <w:szCs w:val="22"/>
        </w:rPr>
        <w:t>Marco jurídico aplicable al permiso de salida del país de niños,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3E6683">
        <w:rPr>
          <w:rFonts w:ascii="Verdana" w:hAnsi="Verdana"/>
          <w:b/>
          <w:bCs/>
          <w:sz w:val="22"/>
          <w:szCs w:val="22"/>
        </w:rPr>
        <w:t>niñas y adolescentes</w:t>
      </w:r>
    </w:p>
    <w:p w:rsidRPr="003E6683" w:rsidR="003E6683" w:rsidP="003E6683" w:rsidRDefault="003E6683" w14:paraId="3D8066CB" w14:textId="77777777">
      <w:pPr>
        <w:pStyle w:val="Sinespaciado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="003E6683" w:rsidP="003E6683" w:rsidRDefault="003E6683" w14:paraId="5449DE7E" w14:textId="7CB9165C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El Código de la Infancia y la Adolescencia (Ley 1098 de 2006) tiene como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finalidad garantizar a todos los niños, niñas y adolescentes su pleno desarrollo en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el seno de la familia y la comunidad, con prevalencia de la igualdad y la dignidad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humana sin ningún tipo de discriminación1.</w:t>
      </w:r>
    </w:p>
    <w:p w:rsidRPr="003E6683" w:rsidR="003E6683" w:rsidP="003E6683" w:rsidRDefault="003E6683" w14:paraId="67DEF28C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3E6683" w:rsidR="003E6683" w:rsidP="003E6683" w:rsidRDefault="003E6683" w14:paraId="3F8FC9CB" w14:textId="4B150D64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Esta Ley establece tanto las normas sustantivas como procedimentales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relacionadas con la protección integral de los niños, niñas y adolescentes,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buscando garantizar el pleno ejercicio de sus derechos y libertades consagrados</w:t>
      </w:r>
    </w:p>
    <w:p w:rsidR="003E6683" w:rsidP="003E6683" w:rsidRDefault="003E6683" w14:paraId="4AF5A17D" w14:textId="47987058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tanto en instrumentos internacionales como en la Constitución Política y las leyes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nacionales.</w:t>
      </w:r>
    </w:p>
    <w:p w:rsidR="003E6683" w:rsidP="003E6683" w:rsidRDefault="003E6683" w14:paraId="229C1FC6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3E6683" w:rsidP="003E6683" w:rsidRDefault="003E6683" w14:paraId="551215F1" w14:textId="45CC6966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La normatividad establecida en el Código de la Infancia y la Adolescencia aplica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 xml:space="preserve">para todos los niños, niñas y adolescentes nacionales o </w:t>
      </w:r>
      <w:r w:rsidRPr="003E6683">
        <w:rPr>
          <w:rFonts w:ascii="Verdana" w:hAnsi="Verdana"/>
          <w:b/>
          <w:bCs/>
          <w:sz w:val="22"/>
          <w:szCs w:val="22"/>
        </w:rPr>
        <w:t>extranjeros que se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3E6683">
        <w:rPr>
          <w:rFonts w:ascii="Verdana" w:hAnsi="Verdana"/>
          <w:b/>
          <w:bCs/>
          <w:sz w:val="22"/>
          <w:szCs w:val="22"/>
        </w:rPr>
        <w:t>encuentren en el país</w:t>
      </w:r>
      <w:r w:rsidRPr="003E6683">
        <w:rPr>
          <w:rFonts w:ascii="Verdana" w:hAnsi="Verdana"/>
          <w:sz w:val="22"/>
          <w:szCs w:val="22"/>
        </w:rPr>
        <w:t>, a los nacionales que se encuentren fuera del país y a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aquellos con doble nacionalidad cuando una de ellas sea colombiana2.</w:t>
      </w:r>
    </w:p>
    <w:p w:rsidR="003E6683" w:rsidP="003E6683" w:rsidRDefault="003E6683" w14:paraId="3253ECE3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3E6683" w:rsidP="003E6683" w:rsidRDefault="003E6683" w14:paraId="5350CFA0" w14:textId="570F6440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Consecuentemente, dentro de la amplia gama de derechos de los cuales son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titulares las personas se encuentra el derecho a la personalidad jurídica, frente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al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cual se ha manifestado la Honorable Corte Constitucional en sentencia C-109 de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1995, donde señala que mencionado derecho comprende la posibilidad que tiene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todo ser humano de ostentar determinados atributos que constituyen su esencia,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y como derecho fundamental están inmersas las características propias de la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persona.</w:t>
      </w:r>
    </w:p>
    <w:p w:rsidRPr="003E6683" w:rsidR="003E6683" w:rsidP="003E6683" w:rsidRDefault="003E6683" w14:paraId="1E95AA9C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3E6683" w:rsidR="003E6683" w:rsidP="003E6683" w:rsidRDefault="003E6683" w14:paraId="5E3A00F8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Dentro de estos atributos esenciales a las personas se encuentra, entre otros, el</w:t>
      </w:r>
    </w:p>
    <w:p w:rsidR="003E6683" w:rsidP="003E6683" w:rsidRDefault="003E6683" w14:paraId="4C7C4647" w14:textId="5998089C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b/>
          <w:bCs/>
          <w:sz w:val="22"/>
          <w:szCs w:val="22"/>
        </w:rPr>
        <w:t>domicilio</w:t>
      </w:r>
      <w:r w:rsidRPr="003E6683">
        <w:rPr>
          <w:rFonts w:ascii="Verdana" w:hAnsi="Verdana"/>
          <w:sz w:val="22"/>
          <w:szCs w:val="22"/>
        </w:rPr>
        <w:t>, el cual es definido por el artículo 76 del código civil como consistente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en la residencia acompañada, real o presuntivamente del ánimo de permanecer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en ella.</w:t>
      </w:r>
    </w:p>
    <w:p w:rsidRPr="003E6683" w:rsidR="003E6683" w:rsidP="003E6683" w:rsidRDefault="003E6683" w14:paraId="6756BFCF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3E6683" w:rsidP="003E6683" w:rsidRDefault="003E6683" w14:paraId="26ACC096" w14:textId="0D4CF326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Este es uno de los diferentes conceptos que en el sistema jurídico colombiano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evidencia la estrecha relación que existe entre las personas y los territorios o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espacios físicos, el cual posee importantes efectos jurídicos en materia de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procesos y procedimientos, por ejemplo, en las competencias que tienen las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autoridades judiciales o administrativas en conocer determinados procesos.</w:t>
      </w:r>
      <w:r>
        <w:rPr>
          <w:rFonts w:ascii="Verdana" w:hAnsi="Verdana"/>
          <w:sz w:val="22"/>
          <w:szCs w:val="22"/>
        </w:rPr>
        <w:t xml:space="preserve"> </w:t>
      </w:r>
    </w:p>
    <w:p w:rsidRPr="003E6683" w:rsidR="003E6683" w:rsidP="003E6683" w:rsidRDefault="003E6683" w14:paraId="3C75F6B9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3E6683" w:rsidP="003E6683" w:rsidRDefault="003E6683" w14:paraId="57DD39B3" w14:textId="78AAE36C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Habitualmente, se ha contemplado que no es lo mismo el domicilio y la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b/>
          <w:bCs/>
          <w:sz w:val="22"/>
          <w:szCs w:val="22"/>
        </w:rPr>
        <w:t>residencia</w:t>
      </w:r>
      <w:r w:rsidRPr="003E6683">
        <w:rPr>
          <w:rFonts w:ascii="Verdana" w:hAnsi="Verdana"/>
          <w:sz w:val="22"/>
          <w:szCs w:val="22"/>
        </w:rPr>
        <w:t xml:space="preserve">, aunque esta última se emplea para definir lo que es el domicilio. </w:t>
      </w:r>
      <w:r>
        <w:rPr>
          <w:rFonts w:ascii="Verdana" w:hAnsi="Verdana"/>
          <w:sz w:val="22"/>
          <w:szCs w:val="22"/>
        </w:rPr>
        <w:t xml:space="preserve"> S</w:t>
      </w:r>
      <w:r w:rsidRPr="003E6683">
        <w:rPr>
          <w:rFonts w:ascii="Verdana" w:hAnsi="Verdana"/>
          <w:sz w:val="22"/>
          <w:szCs w:val="22"/>
        </w:rPr>
        <w:t>in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 xml:space="preserve">embargo, debe diferenciarse entre la </w:t>
      </w:r>
      <w:r w:rsidRPr="003E6683">
        <w:rPr>
          <w:rFonts w:ascii="Verdana" w:hAnsi="Verdana"/>
          <w:b/>
          <w:bCs/>
          <w:sz w:val="22"/>
          <w:szCs w:val="22"/>
        </w:rPr>
        <w:t xml:space="preserve">mera o simple residencia </w:t>
      </w:r>
      <w:r w:rsidRPr="003E6683">
        <w:rPr>
          <w:rFonts w:ascii="Verdana" w:hAnsi="Verdana"/>
          <w:sz w:val="22"/>
          <w:szCs w:val="22"/>
        </w:rPr>
        <w:t>(solo el hecho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 xml:space="preserve">de habitar una persona un espacio sin ánimo de asentarse) y la </w:t>
      </w:r>
      <w:r w:rsidRPr="003E6683">
        <w:rPr>
          <w:rFonts w:ascii="Verdana" w:hAnsi="Verdana"/>
          <w:b/>
          <w:bCs/>
          <w:sz w:val="22"/>
          <w:szCs w:val="22"/>
        </w:rPr>
        <w:t>residencia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3E6683">
        <w:rPr>
          <w:rFonts w:ascii="Verdana" w:hAnsi="Verdana"/>
          <w:b/>
          <w:bCs/>
          <w:sz w:val="22"/>
          <w:szCs w:val="22"/>
        </w:rPr>
        <w:t xml:space="preserve">habitual </w:t>
      </w:r>
      <w:r w:rsidRPr="003E6683">
        <w:rPr>
          <w:rFonts w:ascii="Verdana" w:hAnsi="Verdana"/>
          <w:sz w:val="22"/>
          <w:szCs w:val="22"/>
        </w:rPr>
        <w:t>(presencia física de la persona con interés de permanecer en el lugar),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precisamente esta última la que permite ser prueba del domicilio.</w:t>
      </w:r>
    </w:p>
    <w:p w:rsidRPr="003E6683" w:rsidR="003E6683" w:rsidP="003E6683" w:rsidRDefault="003E6683" w14:paraId="0AC8F2A7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3E6683" w:rsidR="003E6683" w:rsidP="003E6683" w:rsidRDefault="003E6683" w14:paraId="235FE294" w14:textId="29D7D44A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Adicional a esto, en materia constitucional es mucho más compleja la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diferenciación, dado que, si bien se mantiene, el domicilio como atributo de la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personalidad protege muchos más espectros que el considerado en la legislación</w:t>
      </w:r>
    </w:p>
    <w:p w:rsidR="003E6683" w:rsidP="003E6683" w:rsidRDefault="003E6683" w14:paraId="3EB52957" w14:textId="7B26E9E7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civil, indicando la Corte Constitucional sobre el cambio de concepción privatista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del domicilio a un entendimiento constitucional, en sentencia C-223 de 2017, lo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siguiente:</w:t>
      </w:r>
    </w:p>
    <w:p w:rsidR="003E6683" w:rsidP="003E6683" w:rsidRDefault="003E6683" w14:paraId="4C3372BD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3E6683" w:rsidP="002C7565" w:rsidRDefault="003E6683" w14:paraId="71513382" w14:textId="77777777">
      <w:pPr>
        <w:pStyle w:val="Sinespaciado"/>
        <w:ind w:left="567"/>
        <w:jc w:val="both"/>
        <w:rPr>
          <w:rFonts w:ascii="Verdana" w:hAnsi="Verdana"/>
          <w:sz w:val="22"/>
          <w:szCs w:val="22"/>
        </w:rPr>
      </w:pPr>
    </w:p>
    <w:p w:rsidRPr="003E6683" w:rsidR="003E6683" w:rsidP="002C7565" w:rsidRDefault="003E6683" w14:paraId="58571B4E" w14:textId="77777777">
      <w:pPr>
        <w:pStyle w:val="Sinespaciado"/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3E6683">
        <w:rPr>
          <w:rFonts w:ascii="Verdana" w:hAnsi="Verdana"/>
          <w:i/>
          <w:iCs/>
          <w:sz w:val="22"/>
          <w:szCs w:val="22"/>
        </w:rPr>
        <w:t>“La Corte Constitucional ha abordado el tema del domicilio en varias decisiones,</w:t>
      </w:r>
    </w:p>
    <w:p w:rsidR="003E6683" w:rsidP="002C7565" w:rsidRDefault="003E6683" w14:paraId="6B8CF9D3" w14:textId="3D4FCA47">
      <w:pPr>
        <w:pStyle w:val="Sinespaciado"/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3E6683">
        <w:rPr>
          <w:rFonts w:ascii="Verdana" w:hAnsi="Verdana"/>
          <w:i/>
          <w:iCs/>
          <w:sz w:val="22"/>
          <w:szCs w:val="22"/>
        </w:rPr>
        <w:t>señalando que el concepto constitucional de domicilio va más allá del de residencia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3E6683">
        <w:rPr>
          <w:rFonts w:ascii="Verdana" w:hAnsi="Verdana"/>
          <w:i/>
          <w:iCs/>
          <w:sz w:val="22"/>
          <w:szCs w:val="22"/>
        </w:rPr>
        <w:t>o de casa de habitación. Así en la citada Sentencia C-024 de 1994 señaló que:</w:t>
      </w:r>
    </w:p>
    <w:p w:rsidRPr="003E6683" w:rsidR="003E6683" w:rsidP="002C7565" w:rsidRDefault="003E6683" w14:paraId="2DDE3FBC" w14:textId="77777777">
      <w:pPr>
        <w:pStyle w:val="Sinespaciado"/>
        <w:ind w:left="567"/>
        <w:jc w:val="both"/>
        <w:rPr>
          <w:rFonts w:ascii="Verdana" w:hAnsi="Verdana"/>
          <w:i/>
          <w:iCs/>
          <w:sz w:val="22"/>
          <w:szCs w:val="22"/>
        </w:rPr>
      </w:pPr>
    </w:p>
    <w:p w:rsidR="002C7565" w:rsidP="002C7565" w:rsidRDefault="003E6683" w14:paraId="5897AD61" w14:textId="7C8E8C83">
      <w:pPr>
        <w:pStyle w:val="Sinespaciado"/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3E6683">
        <w:rPr>
          <w:rFonts w:ascii="Verdana" w:hAnsi="Verdana"/>
          <w:i/>
          <w:iCs/>
          <w:sz w:val="22"/>
          <w:szCs w:val="22"/>
        </w:rPr>
        <w:t>“La norma constitucional parte pues del principio general de que toda persona es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3E6683">
        <w:rPr>
          <w:rFonts w:ascii="Verdana" w:hAnsi="Verdana"/>
          <w:i/>
          <w:iCs/>
          <w:sz w:val="22"/>
          <w:szCs w:val="22"/>
        </w:rPr>
        <w:t>libre y que tiene derecho a la inviolabilidad de su domicilio. Por libertad personal 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3E6683">
        <w:rPr>
          <w:rFonts w:ascii="Verdana" w:hAnsi="Verdana"/>
          <w:i/>
          <w:iCs/>
          <w:sz w:val="22"/>
          <w:szCs w:val="22"/>
        </w:rPr>
        <w:t>nivel constitucional debe entenderse la ausencia de aprehensión, retención,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3E6683">
        <w:rPr>
          <w:rFonts w:ascii="Verdana" w:hAnsi="Verdana"/>
          <w:i/>
          <w:iCs/>
          <w:sz w:val="22"/>
          <w:szCs w:val="22"/>
        </w:rPr>
        <w:t>captura, detención o cualquier otra forma de limitación de la autonomía de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3E6683">
        <w:rPr>
          <w:rFonts w:ascii="Verdana" w:hAnsi="Verdana"/>
          <w:i/>
          <w:iCs/>
          <w:sz w:val="22"/>
          <w:szCs w:val="22"/>
        </w:rPr>
        <w:t>persona. Y por inviolabilidad de domicilio se entiende en general el respeto a la</w:t>
      </w:r>
      <w:r w:rsidR="002C7565">
        <w:rPr>
          <w:rFonts w:ascii="Verdana" w:hAnsi="Verdana"/>
          <w:i/>
          <w:iCs/>
          <w:sz w:val="22"/>
          <w:szCs w:val="22"/>
        </w:rPr>
        <w:t xml:space="preserve"> </w:t>
      </w:r>
      <w:r w:rsidRPr="003E6683">
        <w:rPr>
          <w:rFonts w:ascii="Verdana" w:hAnsi="Verdana"/>
          <w:i/>
          <w:iCs/>
          <w:sz w:val="22"/>
          <w:szCs w:val="22"/>
        </w:rPr>
        <w:t>casa de habitación de las personas, lo cual muestra que el concepto de domicilio a</w:t>
      </w:r>
      <w:r w:rsidR="002C7565">
        <w:rPr>
          <w:rFonts w:ascii="Verdana" w:hAnsi="Verdana"/>
          <w:i/>
          <w:iCs/>
          <w:sz w:val="22"/>
          <w:szCs w:val="22"/>
        </w:rPr>
        <w:t xml:space="preserve"> </w:t>
      </w:r>
      <w:r w:rsidRPr="003E6683">
        <w:rPr>
          <w:rFonts w:ascii="Verdana" w:hAnsi="Verdana"/>
          <w:i/>
          <w:iCs/>
          <w:sz w:val="22"/>
          <w:szCs w:val="22"/>
        </w:rPr>
        <w:t>nivel constitucional no corresponde a su acepción en el derecho civil. En efecto, la</w:t>
      </w:r>
      <w:r w:rsidR="002C7565">
        <w:rPr>
          <w:rFonts w:ascii="Verdana" w:hAnsi="Verdana"/>
          <w:i/>
          <w:iCs/>
          <w:sz w:val="22"/>
          <w:szCs w:val="22"/>
        </w:rPr>
        <w:t xml:space="preserve"> </w:t>
      </w:r>
      <w:r w:rsidRPr="003E6683">
        <w:rPr>
          <w:rFonts w:ascii="Verdana" w:hAnsi="Verdana"/>
          <w:i/>
          <w:iCs/>
          <w:sz w:val="22"/>
          <w:szCs w:val="22"/>
        </w:rPr>
        <w:t>definición constitucional de domicilio excede la noción civilista y comprende,</w:t>
      </w:r>
      <w:r w:rsidR="002C7565">
        <w:rPr>
          <w:rFonts w:ascii="Verdana" w:hAnsi="Verdana"/>
          <w:i/>
          <w:iCs/>
          <w:sz w:val="22"/>
          <w:szCs w:val="22"/>
        </w:rPr>
        <w:t xml:space="preserve"> </w:t>
      </w:r>
      <w:r w:rsidRPr="002C7565" w:rsidR="002C7565">
        <w:rPr>
          <w:rFonts w:ascii="Verdana" w:hAnsi="Verdana"/>
          <w:i/>
          <w:iCs/>
          <w:sz w:val="22"/>
          <w:szCs w:val="22"/>
        </w:rPr>
        <w:t>además de los lugares de habitación, todos aquellos espacios cerrados, en donde</w:t>
      </w:r>
      <w:r w:rsidR="002C7565">
        <w:rPr>
          <w:rFonts w:ascii="Verdana" w:hAnsi="Verdana"/>
          <w:i/>
          <w:iCs/>
          <w:sz w:val="22"/>
          <w:szCs w:val="22"/>
        </w:rPr>
        <w:t xml:space="preserve"> </w:t>
      </w:r>
      <w:r w:rsidRPr="002C7565" w:rsidR="002C7565">
        <w:rPr>
          <w:rFonts w:ascii="Verdana" w:hAnsi="Verdana"/>
          <w:i/>
          <w:iCs/>
          <w:sz w:val="22"/>
          <w:szCs w:val="22"/>
        </w:rPr>
        <w:t>las personas desarrollan de manera más inmediata su intimidad y su personalidad</w:t>
      </w:r>
      <w:r w:rsidR="002C7565">
        <w:rPr>
          <w:rFonts w:ascii="Verdana" w:hAnsi="Verdana"/>
          <w:i/>
          <w:iCs/>
          <w:sz w:val="22"/>
          <w:szCs w:val="22"/>
        </w:rPr>
        <w:t xml:space="preserve"> </w:t>
      </w:r>
      <w:r w:rsidRPr="002C7565" w:rsidR="002C7565">
        <w:rPr>
          <w:rFonts w:ascii="Verdana" w:hAnsi="Verdana"/>
          <w:i/>
          <w:iCs/>
          <w:sz w:val="22"/>
          <w:szCs w:val="22"/>
        </w:rPr>
        <w:t>mediante el libre ejercicio de su libertad. La defensa de la inviolabilidad del</w:t>
      </w:r>
      <w:r w:rsidR="002C7565">
        <w:rPr>
          <w:rFonts w:ascii="Verdana" w:hAnsi="Verdana"/>
          <w:i/>
          <w:iCs/>
          <w:sz w:val="22"/>
          <w:szCs w:val="22"/>
        </w:rPr>
        <w:t xml:space="preserve"> </w:t>
      </w:r>
      <w:r w:rsidRPr="002C7565" w:rsidR="002C7565">
        <w:rPr>
          <w:rFonts w:ascii="Verdana" w:hAnsi="Verdana"/>
          <w:i/>
          <w:iCs/>
          <w:sz w:val="22"/>
          <w:szCs w:val="22"/>
        </w:rPr>
        <w:t>domicilio protege así más que a un espacio físico en sí mismo al individuo en su</w:t>
      </w:r>
      <w:r w:rsidR="002C7565">
        <w:rPr>
          <w:rFonts w:ascii="Verdana" w:hAnsi="Verdana"/>
          <w:i/>
          <w:iCs/>
          <w:sz w:val="22"/>
          <w:szCs w:val="22"/>
        </w:rPr>
        <w:t xml:space="preserve"> </w:t>
      </w:r>
      <w:r w:rsidRPr="002C7565" w:rsidR="002C7565">
        <w:rPr>
          <w:rFonts w:ascii="Verdana" w:hAnsi="Verdana"/>
          <w:i/>
          <w:iCs/>
          <w:sz w:val="22"/>
          <w:szCs w:val="22"/>
        </w:rPr>
        <w:t>seguridad, libertad e intimidad.</w:t>
      </w:r>
    </w:p>
    <w:p w:rsidRPr="002C7565" w:rsidR="002C7565" w:rsidP="002C7565" w:rsidRDefault="002C7565" w14:paraId="4825C9AB" w14:textId="77777777">
      <w:pPr>
        <w:pStyle w:val="Sinespaciado"/>
        <w:ind w:left="567"/>
        <w:jc w:val="both"/>
        <w:rPr>
          <w:rFonts w:ascii="Verdana" w:hAnsi="Verdana"/>
          <w:i/>
          <w:iCs/>
          <w:sz w:val="22"/>
          <w:szCs w:val="22"/>
        </w:rPr>
      </w:pPr>
    </w:p>
    <w:p w:rsidR="002C7565" w:rsidP="002C7565" w:rsidRDefault="002C7565" w14:paraId="4DE359F9" w14:textId="77777777">
      <w:pPr>
        <w:pStyle w:val="Sinespaciado"/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2C7565">
        <w:rPr>
          <w:rFonts w:ascii="Verdana" w:hAnsi="Verdana"/>
          <w:i/>
          <w:iCs/>
          <w:sz w:val="22"/>
          <w:szCs w:val="22"/>
        </w:rPr>
        <w:t>(…)</w:t>
      </w:r>
    </w:p>
    <w:p w:rsidRPr="002C7565" w:rsidR="002C7565" w:rsidP="002C7565" w:rsidRDefault="002C7565" w14:paraId="326D7B4E" w14:textId="77777777">
      <w:pPr>
        <w:pStyle w:val="Sinespaciado"/>
        <w:ind w:left="567"/>
        <w:jc w:val="both"/>
        <w:rPr>
          <w:rFonts w:ascii="Verdana" w:hAnsi="Verdana"/>
          <w:i/>
          <w:iCs/>
          <w:sz w:val="22"/>
          <w:szCs w:val="22"/>
        </w:rPr>
      </w:pPr>
    </w:p>
    <w:p w:rsidRPr="002C7565" w:rsidR="002C7565" w:rsidP="002C7565" w:rsidRDefault="002C7565" w14:paraId="25FF8957" w14:textId="77777777">
      <w:pPr>
        <w:pStyle w:val="Sinespaciado"/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2C7565">
        <w:rPr>
          <w:rFonts w:ascii="Verdana" w:hAnsi="Verdana"/>
          <w:i/>
          <w:iCs/>
          <w:sz w:val="22"/>
          <w:szCs w:val="22"/>
        </w:rPr>
        <w:t xml:space="preserve">En </w:t>
      </w:r>
      <w:proofErr w:type="gramStart"/>
      <w:r w:rsidRPr="002C7565">
        <w:rPr>
          <w:rFonts w:ascii="Verdana" w:hAnsi="Verdana"/>
          <w:i/>
          <w:iCs/>
          <w:sz w:val="22"/>
          <w:szCs w:val="22"/>
        </w:rPr>
        <w:t>conclusión</w:t>
      </w:r>
      <w:proofErr w:type="gramEnd"/>
      <w:r w:rsidRPr="002C7565">
        <w:rPr>
          <w:rFonts w:ascii="Verdana" w:hAnsi="Verdana"/>
          <w:i/>
          <w:iCs/>
          <w:sz w:val="22"/>
          <w:szCs w:val="22"/>
        </w:rPr>
        <w:t xml:space="preserve"> se tiene que la noción constitucional del domicilio excede la de la</w:t>
      </w:r>
    </w:p>
    <w:p w:rsidR="003E6683" w:rsidP="002C7565" w:rsidRDefault="002C7565" w14:paraId="3EF05A97" w14:textId="787BD184">
      <w:pPr>
        <w:pStyle w:val="Sinespaciado"/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2C7565">
        <w:rPr>
          <w:rFonts w:ascii="Verdana" w:hAnsi="Verdana"/>
          <w:i/>
          <w:iCs/>
          <w:sz w:val="22"/>
          <w:szCs w:val="22"/>
        </w:rPr>
        <w:t>simple casa de habitación prevista por el Código Civil, y que involucra diversos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2C7565">
        <w:rPr>
          <w:rFonts w:ascii="Verdana" w:hAnsi="Verdana"/>
          <w:i/>
          <w:iCs/>
          <w:sz w:val="22"/>
          <w:szCs w:val="22"/>
        </w:rPr>
        <w:t>escenarios y espacios de actuación de las personas, en los que se ejercen derechos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2C7565">
        <w:rPr>
          <w:rFonts w:ascii="Verdana" w:hAnsi="Verdana"/>
          <w:i/>
          <w:iCs/>
          <w:sz w:val="22"/>
          <w:szCs w:val="22"/>
        </w:rPr>
        <w:t>fundamentales concurrentes como la intimidad personal y familiar, la libertad,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2C7565">
        <w:rPr>
          <w:rFonts w:ascii="Verdana" w:hAnsi="Verdana"/>
          <w:i/>
          <w:iCs/>
          <w:sz w:val="22"/>
          <w:szCs w:val="22"/>
        </w:rPr>
        <w:t>seguridad individual, la propiedad y la honra, lo que hace que su protección deba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2C7565">
        <w:rPr>
          <w:rFonts w:ascii="Verdana" w:hAnsi="Verdana"/>
          <w:i/>
          <w:iCs/>
          <w:sz w:val="22"/>
          <w:szCs w:val="22"/>
        </w:rPr>
        <w:t>ser resguardada y que las cláusulas de excepción sean realmente excepcionales y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2C7565">
        <w:rPr>
          <w:rFonts w:ascii="Verdana" w:hAnsi="Verdana"/>
          <w:i/>
          <w:iCs/>
          <w:sz w:val="22"/>
          <w:szCs w:val="22"/>
        </w:rPr>
        <w:t>no hayan sido dispuestas al modo de facultades amplias o generales”.</w:t>
      </w:r>
    </w:p>
    <w:p w:rsidR="002C7565" w:rsidP="002C7565" w:rsidRDefault="002C7565" w14:paraId="6216ACE0" w14:textId="40804A74">
      <w:pPr>
        <w:pStyle w:val="Sinespaciado"/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lastRenderedPageBreak/>
        <w:t>Entonces, se puede hablar desde un nivel de la normativa civil que existe el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domicilio como residencia con el ánimo de permanecer en ella, y la mera o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simple residencia como la sola presencia de las personas en los lugares sin en el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ánimo de establecerse en ellos. A esto debe sumarse la ampliación desde un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enfoque constitucional del domicilio, el cual lo extiende a diversos escenarios y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espacios de las personas en donde ellas ejercen sus derechos, lo cual podría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incluso coincidir con el concepto de mera o simple residencia civilista, aunque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esta visión ha sido fijada generalmente desde las normas que se refieren a la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inviolabilidad del domicilio.</w:t>
      </w:r>
    </w:p>
    <w:p w:rsidRPr="002C7565" w:rsidR="002C7565" w:rsidP="002C7565" w:rsidRDefault="002C7565" w14:paraId="00945728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2C7565" w:rsidR="002C7565" w:rsidP="002C7565" w:rsidRDefault="002C7565" w14:paraId="07336783" w14:textId="37B3973B">
      <w:pPr>
        <w:pStyle w:val="Sinespaciado"/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t>Por otra parte, frente al tema del permiso de salida del país de un niño, niña o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adolescente, establecido en el artículo 110 del Código de la Infancia y la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Adolescencia, modificado por el artículo 9 de la Ley 1878 de 2018, se encuentran</w:t>
      </w:r>
    </w:p>
    <w:p w:rsidR="002C7565" w:rsidP="002C7565" w:rsidRDefault="002C7565" w14:paraId="5A16B7D2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t>las condiciones y reglas a las cuales se sujeta dicho trámite.</w:t>
      </w:r>
    </w:p>
    <w:p w:rsidRPr="002C7565" w:rsidR="002C7565" w:rsidP="002C7565" w:rsidRDefault="002C7565" w14:paraId="25568FA1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2C7565" w:rsidR="002C7565" w:rsidP="002C7565" w:rsidRDefault="002C7565" w14:paraId="43D6E042" w14:textId="24F6BA2A">
      <w:pPr>
        <w:pStyle w:val="Sinespaciado"/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t xml:space="preserve">En ese sentido, se consagra que cuando el menor de edad que tiene </w:t>
      </w:r>
      <w:r w:rsidRPr="002C7565">
        <w:rPr>
          <w:rFonts w:ascii="Verdana" w:hAnsi="Verdana"/>
          <w:b/>
          <w:bCs/>
          <w:sz w:val="22"/>
          <w:szCs w:val="22"/>
        </w:rPr>
        <w:t>residencia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en Colombia va a salir del país con uno de los padres o con un tercero, deberá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tener el permiso del progenitor que no acompaña al niño, niña o adolescente, el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cual debe estar autenticado ante notario o autoridad consular, especificando el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lugar de destino, el propósito del viaje y la fecha de salida e ingreso del país.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Asimismo, este requisito no se exigirá cuando al padre que no viaja se le haya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suspendido o privado la patria potestad o cuando este falte por causa de muerte.</w:t>
      </w:r>
    </w:p>
    <w:p w:rsidR="002C7565" w:rsidP="002C7565" w:rsidRDefault="002C7565" w14:paraId="17CAF0D3" w14:textId="3970A411">
      <w:pPr>
        <w:pStyle w:val="Sinespaciado"/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t>Frente a los NNA con residencia en el extranjero, la Ley de la Infancia y la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Adolescencia en el artículo 110 señala lo siguiente:</w:t>
      </w:r>
    </w:p>
    <w:p w:rsidR="003E6683" w:rsidP="003E6683" w:rsidRDefault="003E6683" w14:paraId="7AE06EC6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2C7565" w:rsidP="002C7565" w:rsidRDefault="002C7565" w14:paraId="1F500292" w14:textId="23D41788">
      <w:pPr>
        <w:pStyle w:val="Sinespaciado"/>
        <w:ind w:left="426"/>
        <w:jc w:val="both"/>
        <w:rPr>
          <w:rFonts w:ascii="Verdana" w:hAnsi="Verdana"/>
          <w:i/>
          <w:iCs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t>“</w:t>
      </w:r>
      <w:r w:rsidRPr="002C7565">
        <w:rPr>
          <w:rFonts w:ascii="Verdana" w:hAnsi="Verdana"/>
          <w:i/>
          <w:iCs/>
          <w:sz w:val="22"/>
          <w:szCs w:val="22"/>
        </w:rPr>
        <w:t>Los menores de edad con residencia habitual en el exterior, igual o superior a un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2C7565">
        <w:rPr>
          <w:rFonts w:ascii="Verdana" w:hAnsi="Verdana"/>
          <w:i/>
          <w:iCs/>
          <w:sz w:val="22"/>
          <w:szCs w:val="22"/>
        </w:rPr>
        <w:t>(1) año, y que vayan a salir del país con uno solo de sus progenitores, no requerirán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2C7565">
        <w:rPr>
          <w:rFonts w:ascii="Verdana" w:hAnsi="Verdana"/>
          <w:i/>
          <w:iCs/>
          <w:sz w:val="22"/>
          <w:szCs w:val="22"/>
        </w:rPr>
        <w:t>autorización cuando decidan volver a aquella. Para efectos de la salida del país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2C7565">
        <w:rPr>
          <w:rFonts w:ascii="Verdana" w:hAnsi="Verdana"/>
          <w:i/>
          <w:iCs/>
          <w:sz w:val="22"/>
          <w:szCs w:val="22"/>
        </w:rPr>
        <w:t>deberán aportar certificación de residencia en el exterior, expedido por 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2C7565">
        <w:rPr>
          <w:rFonts w:ascii="Verdana" w:hAnsi="Verdana"/>
          <w:i/>
          <w:iCs/>
          <w:sz w:val="22"/>
          <w:szCs w:val="22"/>
        </w:rPr>
        <w:t>consulado competente o la inscripción consular y copia del documento en el cual se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2C7565">
        <w:rPr>
          <w:rFonts w:ascii="Verdana" w:hAnsi="Verdana"/>
          <w:i/>
          <w:iCs/>
          <w:sz w:val="22"/>
          <w:szCs w:val="22"/>
        </w:rPr>
        <w:t>establezca la custodia en cabeza del progenitor con quien va a salir. La solicitud del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2C7565">
        <w:rPr>
          <w:rFonts w:ascii="Verdana" w:hAnsi="Verdana"/>
          <w:i/>
          <w:iCs/>
          <w:sz w:val="22"/>
          <w:szCs w:val="22"/>
        </w:rPr>
        <w:t>trámite de custodia podrá presentarse ante la autoridad consular correspondiente,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2C7565">
        <w:rPr>
          <w:rFonts w:ascii="Verdana" w:hAnsi="Verdana"/>
          <w:i/>
          <w:iCs/>
          <w:sz w:val="22"/>
          <w:szCs w:val="22"/>
        </w:rPr>
        <w:t>quienes remitirán a la autoridad competente en Colombia.</w:t>
      </w:r>
    </w:p>
    <w:p w:rsidRPr="002C7565" w:rsidR="002C7565" w:rsidP="002C7565" w:rsidRDefault="002C7565" w14:paraId="40808DB2" w14:textId="77777777">
      <w:pPr>
        <w:pStyle w:val="Sinespaciado"/>
        <w:ind w:left="426"/>
        <w:jc w:val="both"/>
        <w:rPr>
          <w:rFonts w:ascii="Verdana" w:hAnsi="Verdana"/>
          <w:i/>
          <w:iCs/>
          <w:sz w:val="22"/>
          <w:szCs w:val="22"/>
        </w:rPr>
      </w:pPr>
    </w:p>
    <w:p w:rsidR="002C7565" w:rsidP="002C7565" w:rsidRDefault="002C7565" w14:paraId="208054FF" w14:textId="631A2B46">
      <w:pPr>
        <w:pStyle w:val="Sinespaciado"/>
        <w:ind w:left="426"/>
        <w:jc w:val="both"/>
        <w:rPr>
          <w:rFonts w:ascii="Verdana" w:hAnsi="Verdana"/>
          <w:i/>
          <w:iCs/>
          <w:sz w:val="22"/>
          <w:szCs w:val="22"/>
        </w:rPr>
      </w:pPr>
      <w:r w:rsidRPr="002C7565">
        <w:rPr>
          <w:rFonts w:ascii="Verdana" w:hAnsi="Verdana"/>
          <w:i/>
          <w:iCs/>
          <w:sz w:val="22"/>
          <w:szCs w:val="22"/>
        </w:rPr>
        <w:t>En los casos en los que el menor de edad con residencia habitual en el exterior,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2C7565">
        <w:rPr>
          <w:rFonts w:ascii="Verdana" w:hAnsi="Verdana"/>
          <w:i/>
          <w:iCs/>
          <w:sz w:val="22"/>
          <w:szCs w:val="22"/>
        </w:rPr>
        <w:t>igual o superior a un (1) año vaya a salir del país con un tercero, deberá contar con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2C7565">
        <w:rPr>
          <w:rFonts w:ascii="Verdana" w:hAnsi="Verdana"/>
          <w:i/>
          <w:iCs/>
          <w:sz w:val="22"/>
          <w:szCs w:val="22"/>
        </w:rPr>
        <w:t>el permiso de salida otorgado por el progenitor que ostente la custodia.</w:t>
      </w:r>
    </w:p>
    <w:p w:rsidRPr="002C7565" w:rsidR="002C7565" w:rsidP="002C7565" w:rsidRDefault="002C7565" w14:paraId="38711AFB" w14:textId="77777777">
      <w:pPr>
        <w:pStyle w:val="Sinespaciado"/>
        <w:ind w:left="426"/>
        <w:jc w:val="both"/>
        <w:rPr>
          <w:rFonts w:ascii="Verdana" w:hAnsi="Verdana"/>
          <w:i/>
          <w:iCs/>
          <w:sz w:val="22"/>
          <w:szCs w:val="22"/>
        </w:rPr>
      </w:pPr>
    </w:p>
    <w:p w:rsidR="002C7565" w:rsidP="002C7565" w:rsidRDefault="002C7565" w14:paraId="7BFDAA17" w14:textId="31DE3369">
      <w:pPr>
        <w:pStyle w:val="Sinespaciado"/>
        <w:ind w:left="426"/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i/>
          <w:iCs/>
          <w:sz w:val="22"/>
          <w:szCs w:val="22"/>
        </w:rPr>
        <w:t>Para los menores de edad que tengan una residencia en otro país menor a un (1)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2C7565">
        <w:rPr>
          <w:rFonts w:ascii="Verdana" w:hAnsi="Verdana"/>
          <w:i/>
          <w:iCs/>
          <w:sz w:val="22"/>
          <w:szCs w:val="22"/>
        </w:rPr>
        <w:t>año, deberán realizar el trámite establecido en el inciso primero de este artículo</w:t>
      </w:r>
      <w:r w:rsidRPr="002C7565">
        <w:rPr>
          <w:rFonts w:ascii="Verdana" w:hAnsi="Verdana"/>
          <w:sz w:val="22"/>
          <w:szCs w:val="22"/>
        </w:rPr>
        <w:t>.</w:t>
      </w:r>
    </w:p>
    <w:p w:rsidRPr="002C7565" w:rsidR="002C7565" w:rsidP="002C7565" w:rsidRDefault="002C7565" w14:paraId="73A75784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2C7565" w:rsidP="002C7565" w:rsidRDefault="002C7565" w14:paraId="236E053C" w14:textId="4DEE05E6">
      <w:pPr>
        <w:pStyle w:val="Sinespaciado"/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t>Por otra parte, se contemplan tres situaciones en los cuales el Defensor de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Familia es la autoridad competente para emitir la autorización que permita la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salida del país del niño, niña o adolescente, a saber:</w:t>
      </w:r>
    </w:p>
    <w:p w:rsidRPr="002C7565" w:rsidR="002C7565" w:rsidP="002C7565" w:rsidRDefault="002C7565" w14:paraId="23DA25E7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2C7565" w:rsidR="002C7565" w:rsidP="002C7565" w:rsidRDefault="002C7565" w14:paraId="4ECB9CF2" w14:textId="0015806E">
      <w:pPr>
        <w:pStyle w:val="Sinespaciado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lastRenderedPageBreak/>
        <w:t>Cuando el menor de edad carezca de representante legal.</w:t>
      </w:r>
    </w:p>
    <w:p w:rsidRPr="002C7565" w:rsidR="002C7565" w:rsidP="002C7565" w:rsidRDefault="002C7565" w14:paraId="7450DB0F" w14:textId="27118413">
      <w:pPr>
        <w:pStyle w:val="Sinespaciado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t>Cuando se desconozca el paradero de alguno los representantes legales.</w:t>
      </w:r>
    </w:p>
    <w:p w:rsidR="002C7565" w:rsidP="002C7565" w:rsidRDefault="002C7565" w14:paraId="1BBEFF3B" w14:textId="660497FA">
      <w:pPr>
        <w:pStyle w:val="Sinespaciado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t>Cuando alguno de los representantes legales no se encuentre en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condiciones de otorgarlo.</w:t>
      </w:r>
    </w:p>
    <w:p w:rsidRPr="002C7565" w:rsidR="002C7565" w:rsidP="002C7565" w:rsidRDefault="002C7565" w14:paraId="5303CAAB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2C7565" w:rsidP="002C7565" w:rsidRDefault="002C7565" w14:paraId="5A112845" w14:textId="0578DF76">
      <w:pPr>
        <w:pStyle w:val="Sinespaciado"/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t>En los eventos anteriores en que los padres o los representantes legales no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pueden otorgar el permiso, el Defensor de Familia debe seguir el trámite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contenido en el inciso sexto del artículo 110 de la Ley 1098 de 2006:</w:t>
      </w:r>
    </w:p>
    <w:p w:rsidRPr="002C7565" w:rsidR="002C7565" w:rsidP="002C7565" w:rsidRDefault="002C7565" w14:paraId="60FA757C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2C7565" w:rsidR="002C7565" w:rsidP="002C7565" w:rsidRDefault="002C7565" w14:paraId="1FDE9562" w14:textId="050AC3A9">
      <w:pPr>
        <w:pStyle w:val="Sinespaciado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t>La solicitud deberá ser formulada por quien tenga el cuidado personal del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niño, niña o adolescente.</w:t>
      </w:r>
    </w:p>
    <w:p w:rsidRPr="002C7565" w:rsidR="002C7565" w:rsidP="002C7565" w:rsidRDefault="002C7565" w14:paraId="5F812C02" w14:textId="0900E6B7">
      <w:pPr>
        <w:pStyle w:val="Sinespaciado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t>La solicitud deberá señalar los hechos en que se funda y el tiempo de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permanencia del niño, niña o adolescente en el exterior. Con ella deberá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acompañarse el registro civil de nacimiento y la prueba de los hechos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alegados.</w:t>
      </w:r>
    </w:p>
    <w:p w:rsidRPr="002C7565" w:rsidR="003E6683" w:rsidP="003E6683" w:rsidRDefault="002C7565" w14:paraId="0DD1554E" w14:textId="1AF3952D">
      <w:pPr>
        <w:pStyle w:val="Sinespaciado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t>Presentada la solicitud, el Defensor de Familia ordenará citar a los padres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o al representante legal que no la hayan suscrito y oficiará a Migración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Colombia si existe impedimento para salir del país del menor de edad.</w:t>
      </w:r>
    </w:p>
    <w:p w:rsidRPr="002C7565" w:rsidR="002C7565" w:rsidP="002C7565" w:rsidRDefault="002C7565" w14:paraId="6CD258D7" w14:textId="6B809024">
      <w:pPr>
        <w:pStyle w:val="Sinespaciado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t>Si dentro de los cinco (5) días hábiles siguientes a la notificación o al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emplazamiento ninguno de los citados se opone, el funcionario practicará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las pruebas que estime necesarias, si a ello hubiere lugar, y decidirá sobre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el permiso solicitado.</w:t>
      </w:r>
    </w:p>
    <w:p w:rsidRPr="002C7565" w:rsidR="002C7565" w:rsidP="002C7565" w:rsidRDefault="002C7565" w14:paraId="4946F919" w14:textId="16BC3DCA">
      <w:pPr>
        <w:pStyle w:val="Sinespaciado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t>En firme la resolución que concede el permiso, el Defensor de Familia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remitirá copia de ella al Ministerio de Relaciones Exteriores y a la Unidad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Administrativa Especial Migración Colombia. El permiso tendrá vigencia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por sesenta (60) días hábiles, contados a partir de su ejecutoria.</w:t>
      </w:r>
    </w:p>
    <w:p w:rsidR="003E6683" w:rsidP="002C7565" w:rsidRDefault="002C7565" w14:paraId="41FF5474" w14:textId="4E9B21A2">
      <w:pPr>
        <w:pStyle w:val="Sinespaciado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C7565">
        <w:rPr>
          <w:rFonts w:ascii="Verdana" w:hAnsi="Verdana"/>
          <w:sz w:val="22"/>
          <w:szCs w:val="22"/>
        </w:rPr>
        <w:t>En caso de que oportunamente se presente oposición a la solicitud de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permiso, el Defensor de Familia remitirá el expediente al Juez de Familia, y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por medio de telegrama avisará a los interesados para que comparezcan al</w:t>
      </w:r>
      <w:r>
        <w:rPr>
          <w:rFonts w:ascii="Verdana" w:hAnsi="Verdana"/>
          <w:sz w:val="22"/>
          <w:szCs w:val="22"/>
        </w:rPr>
        <w:t xml:space="preserve"> </w:t>
      </w:r>
      <w:r w:rsidRPr="002C7565">
        <w:rPr>
          <w:rFonts w:ascii="Verdana" w:hAnsi="Verdana"/>
          <w:sz w:val="22"/>
          <w:szCs w:val="22"/>
        </w:rPr>
        <w:t>juzgado que corresponda por reparto.</w:t>
      </w:r>
    </w:p>
    <w:p w:rsidR="003E6683" w:rsidP="003E6683" w:rsidRDefault="003E6683" w14:paraId="71D9E16E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3E6683" w:rsidP="003E6683" w:rsidRDefault="003E6683" w14:paraId="6F9FBD32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662542" w:rsidP="00662542" w:rsidRDefault="00662542" w14:paraId="06E68901" w14:textId="3E7FE329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Sumado a lo expuesto, el Defensor de Familia está facultado para otorgar de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plano el permiso de salida del país a los niños, niñas y adolescentes que:</w:t>
      </w:r>
    </w:p>
    <w:p w:rsidRPr="00662542" w:rsidR="00662542" w:rsidP="00662542" w:rsidRDefault="00662542" w14:paraId="1A3F9BF1" w14:textId="717A3ADA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662542" w:rsidP="00662542" w:rsidRDefault="00662542" w14:paraId="4AA2D4D0" w14:textId="2621ADCD">
      <w:pPr>
        <w:pStyle w:val="Sinespaciado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 xml:space="preserve">Ingresan al Programa de Víctimas y Testigos de la </w:t>
      </w:r>
      <w:proofErr w:type="gramStart"/>
      <w:r w:rsidRPr="00662542">
        <w:rPr>
          <w:rFonts w:ascii="Verdana" w:hAnsi="Verdana"/>
          <w:sz w:val="22"/>
          <w:szCs w:val="22"/>
        </w:rPr>
        <w:t>Fiscalía General</w:t>
      </w:r>
      <w:proofErr w:type="gramEnd"/>
      <w:r w:rsidRPr="00662542">
        <w:rPr>
          <w:rFonts w:ascii="Verdana" w:hAnsi="Verdana"/>
          <w:sz w:val="22"/>
          <w:szCs w:val="22"/>
        </w:rPr>
        <w:t xml:space="preserve"> de la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Nación</w:t>
      </w:r>
      <w:r>
        <w:rPr>
          <w:rFonts w:ascii="Verdana" w:hAnsi="Verdana"/>
          <w:sz w:val="22"/>
          <w:szCs w:val="22"/>
        </w:rPr>
        <w:t xml:space="preserve"> </w:t>
      </w:r>
    </w:p>
    <w:p w:rsidRPr="00662542" w:rsidR="00662542" w:rsidP="00662542" w:rsidRDefault="00662542" w14:paraId="63938B5D" w14:textId="75156816">
      <w:pPr>
        <w:pStyle w:val="Sinespaciado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Desvinculados o testigos en procesos penales, cuando corre grave peligro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su vida y su integridad personal.</w:t>
      </w:r>
    </w:p>
    <w:p w:rsidR="00662542" w:rsidP="00662542" w:rsidRDefault="00662542" w14:paraId="7417FB7E" w14:textId="5147134B">
      <w:pPr>
        <w:pStyle w:val="Sinespaciado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Van en misión deportiva, científica o cultura.</w:t>
      </w:r>
      <w:r>
        <w:rPr>
          <w:rFonts w:ascii="Verdana" w:hAnsi="Verdana"/>
          <w:sz w:val="22"/>
          <w:szCs w:val="22"/>
        </w:rPr>
        <w:t xml:space="preserve"> </w:t>
      </w:r>
    </w:p>
    <w:p w:rsidRPr="00662542" w:rsidR="00662542" w:rsidP="00662542" w:rsidRDefault="00662542" w14:paraId="4365C32C" w14:textId="2EBC1577">
      <w:pPr>
        <w:pStyle w:val="Sinespaciado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Cuando requieren viajar por razones de tratamientos médicos de urgencia</w:t>
      </w:r>
    </w:p>
    <w:p w:rsidR="00662542" w:rsidP="00662542" w:rsidRDefault="00662542" w14:paraId="31FD3964" w14:textId="77777777">
      <w:pPr>
        <w:pStyle w:val="Sinespaciado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al exterior.</w:t>
      </w:r>
    </w:p>
    <w:p w:rsidRPr="00662542" w:rsidR="00662542" w:rsidP="00662542" w:rsidRDefault="00662542" w14:paraId="518995FB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662542" w:rsidR="00662542" w:rsidP="00662542" w:rsidRDefault="00662542" w14:paraId="4C3A4C11" w14:textId="3D338E6E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Es importante señalar que las normas contenidas en el Código de la Infancia y la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Adolescencia son de orden público, de carácter irrenunciable y los principios y</w:t>
      </w:r>
    </w:p>
    <w:p w:rsidR="003E6683" w:rsidP="00662542" w:rsidRDefault="00662542" w14:paraId="127CEF97" w14:textId="5DA555F2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reglas en ellas consagrados se aplicarán en preferencia a las disposiciones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contenidas en otras leyes.</w:t>
      </w:r>
    </w:p>
    <w:p w:rsidR="003E6683" w:rsidP="003E6683" w:rsidRDefault="003E6683" w14:paraId="48AF4581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662542" w:rsidP="00662542" w:rsidRDefault="00662542" w14:paraId="2D427937" w14:textId="49D6CC99">
      <w:pPr>
        <w:pStyle w:val="Sinespaciado"/>
        <w:numPr>
          <w:ilvl w:val="1"/>
          <w:numId w:val="1"/>
        </w:numPr>
        <w:jc w:val="both"/>
        <w:rPr>
          <w:rFonts w:ascii="Verdana" w:hAnsi="Verdana"/>
          <w:b/>
          <w:bCs/>
          <w:sz w:val="22"/>
          <w:szCs w:val="22"/>
        </w:rPr>
      </w:pPr>
      <w:r w:rsidRPr="00662542">
        <w:rPr>
          <w:rFonts w:ascii="Verdana" w:hAnsi="Verdana"/>
          <w:b/>
          <w:bCs/>
          <w:sz w:val="22"/>
          <w:szCs w:val="22"/>
        </w:rPr>
        <w:lastRenderedPageBreak/>
        <w:t>Niños, niñas y adolescentes con residencia habitual en el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662542">
        <w:rPr>
          <w:rFonts w:ascii="Verdana" w:hAnsi="Verdana"/>
          <w:b/>
          <w:bCs/>
          <w:sz w:val="22"/>
          <w:szCs w:val="22"/>
        </w:rPr>
        <w:t>extranjero</w:t>
      </w:r>
    </w:p>
    <w:p w:rsidRPr="00662542" w:rsidR="00662542" w:rsidP="00662542" w:rsidRDefault="00662542" w14:paraId="57D963CE" w14:textId="77777777">
      <w:pPr>
        <w:pStyle w:val="Sinespaciado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="00662542" w:rsidP="00662542" w:rsidRDefault="00662542" w14:paraId="38405809" w14:textId="3160D860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Las normas son claras al señalar que cuando los menores de edad tienen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 xml:space="preserve">residencia habitual en el extranjero en un tiempo </w:t>
      </w:r>
      <w:r w:rsidRPr="00662542">
        <w:rPr>
          <w:rFonts w:ascii="Verdana" w:hAnsi="Verdana"/>
          <w:b/>
          <w:bCs/>
          <w:sz w:val="22"/>
          <w:szCs w:val="22"/>
        </w:rPr>
        <w:t>mayor o igual a un (1) año</w:t>
      </w:r>
      <w:r w:rsidRPr="00662542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no es necesario el permiso para salir del país, solo se requiere acreditar la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documentación pertinente, presentando certificación de su residencia y la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acreditación de la custodia del padre con quien va a salir el menor de edad.</w:t>
      </w:r>
    </w:p>
    <w:p w:rsidR="00662542" w:rsidP="00662542" w:rsidRDefault="00662542" w14:paraId="6B42FB7B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662542" w:rsidR="00662542" w:rsidP="00662542" w:rsidRDefault="00662542" w14:paraId="444F8BFD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En ese sentido, en lo que respecta a las personas menores de edad provenientes</w:t>
      </w:r>
    </w:p>
    <w:p w:rsidRPr="00662542" w:rsidR="00662542" w:rsidP="00662542" w:rsidRDefault="00662542" w14:paraId="3ABA387C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de Venezuela que señalen tener residencia habitual mayor o igual a un 1 año en</w:t>
      </w:r>
    </w:p>
    <w:p w:rsidRPr="00662542" w:rsidR="00662542" w:rsidP="00662542" w:rsidRDefault="00662542" w14:paraId="1515C324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ese país, para que estén exentos de permiso para salir de Colombia, debe reunir</w:t>
      </w:r>
    </w:p>
    <w:p w:rsidR="00662542" w:rsidP="00662542" w:rsidRDefault="00662542" w14:paraId="7EEC0A99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los siguientes requisitos:</w:t>
      </w:r>
    </w:p>
    <w:p w:rsidRPr="00662542" w:rsidR="00662542" w:rsidP="00662542" w:rsidRDefault="00662542" w14:paraId="396BEC38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662542" w:rsidR="00662542" w:rsidP="00662542" w:rsidRDefault="00662542" w14:paraId="2F2CCBF9" w14:textId="71703DCD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i) Que su destino sea su país de residencia habitual, es decir, que se dirijan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a Venezuela,</w:t>
      </w:r>
    </w:p>
    <w:p w:rsidRPr="00662542" w:rsidR="00662542" w:rsidP="00662542" w:rsidRDefault="00662542" w14:paraId="7C2B21B9" w14:textId="6808C106">
      <w:pPr>
        <w:pStyle w:val="Sinespaciado"/>
        <w:jc w:val="both"/>
        <w:rPr>
          <w:rFonts w:ascii="Verdana" w:hAnsi="Verdana"/>
          <w:sz w:val="22"/>
          <w:szCs w:val="22"/>
        </w:rPr>
      </w:pPr>
      <w:proofErr w:type="spellStart"/>
      <w:r w:rsidRPr="00662542">
        <w:rPr>
          <w:rFonts w:ascii="Verdana" w:hAnsi="Verdana"/>
          <w:sz w:val="22"/>
          <w:szCs w:val="22"/>
        </w:rPr>
        <w:t>ii</w:t>
      </w:r>
      <w:proofErr w:type="spellEnd"/>
      <w:r w:rsidRPr="00662542">
        <w:rPr>
          <w:rFonts w:ascii="Verdana" w:hAnsi="Verdana"/>
          <w:sz w:val="22"/>
          <w:szCs w:val="22"/>
        </w:rPr>
        <w:t>) Deben contar con la certificación de residencia expedida por el consulado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competente o la inscripción consular,</w:t>
      </w:r>
    </w:p>
    <w:p w:rsidR="00662542" w:rsidP="00662542" w:rsidRDefault="00662542" w14:paraId="772A9C3D" w14:textId="21D6ED3A">
      <w:pPr>
        <w:pStyle w:val="Sinespaciado"/>
        <w:jc w:val="both"/>
        <w:rPr>
          <w:rFonts w:ascii="Verdana" w:hAnsi="Verdana"/>
          <w:sz w:val="22"/>
          <w:szCs w:val="22"/>
        </w:rPr>
      </w:pPr>
      <w:proofErr w:type="spellStart"/>
      <w:r w:rsidRPr="00662542">
        <w:rPr>
          <w:rFonts w:ascii="Verdana" w:hAnsi="Verdana"/>
          <w:sz w:val="22"/>
          <w:szCs w:val="22"/>
        </w:rPr>
        <w:t>iii</w:t>
      </w:r>
      <w:proofErr w:type="spellEnd"/>
      <w:r w:rsidRPr="00662542">
        <w:rPr>
          <w:rFonts w:ascii="Verdana" w:hAnsi="Verdana"/>
          <w:sz w:val="22"/>
          <w:szCs w:val="22"/>
        </w:rPr>
        <w:t>) El documento que establezca que la persona que acompaña al menor de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edad es quien tiene la custodia del menor de edad.</w:t>
      </w:r>
    </w:p>
    <w:p w:rsidRPr="00662542" w:rsidR="00662542" w:rsidP="00662542" w:rsidRDefault="00662542" w14:paraId="32B71BAB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662542" w:rsidP="00662542" w:rsidRDefault="00662542" w14:paraId="22FF0A0D" w14:textId="289A44E7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Si no reúnen estos requisitos, deberán tener autorización del defensor de familia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o juez de familia según corresponda.</w:t>
      </w:r>
    </w:p>
    <w:p w:rsidRPr="00662542" w:rsidR="00662542" w:rsidP="00662542" w:rsidRDefault="00662542" w14:paraId="50FAB7E3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662542" w:rsidP="00662542" w:rsidRDefault="00662542" w14:paraId="2D31614D" w14:textId="063E610A">
      <w:pPr>
        <w:pStyle w:val="Sinespaciado"/>
        <w:numPr>
          <w:ilvl w:val="1"/>
          <w:numId w:val="1"/>
        </w:numPr>
        <w:jc w:val="both"/>
        <w:rPr>
          <w:rFonts w:ascii="Verdana" w:hAnsi="Verdana"/>
          <w:b/>
          <w:bCs/>
          <w:sz w:val="22"/>
          <w:szCs w:val="22"/>
        </w:rPr>
      </w:pPr>
      <w:r w:rsidRPr="00662542">
        <w:rPr>
          <w:rFonts w:ascii="Verdana" w:hAnsi="Verdana"/>
          <w:b/>
          <w:bCs/>
          <w:sz w:val="22"/>
          <w:szCs w:val="22"/>
        </w:rPr>
        <w:t>Permiso por Protección Temporal (PPT)</w:t>
      </w:r>
    </w:p>
    <w:p w:rsidRPr="00662542" w:rsidR="00662542" w:rsidP="00662542" w:rsidRDefault="00662542" w14:paraId="081AC684" w14:textId="77777777">
      <w:pPr>
        <w:pStyle w:val="Sinespaciado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="00662542" w:rsidP="00662542" w:rsidRDefault="00662542" w14:paraId="56F8B8C9" w14:textId="3F290244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El alto flujo de personas migrantes provenientes de Venezuela ha implicado para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el Estado colombiano diferentes retos, entre otros, a nivel normativo a fin de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generar regulaciones que permitan garantizar los derechos de estas personas y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que permitan su paso o establecimiento en Colombia de manera ordenada y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accediendo a los servicios del Estado y no profundizar su estado de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vulnerabilidad.</w:t>
      </w:r>
    </w:p>
    <w:p w:rsidRPr="00662542" w:rsidR="00662542" w:rsidP="00662542" w:rsidRDefault="00662542" w14:paraId="39FC366B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662542" w:rsidP="00662542" w:rsidRDefault="00662542" w14:paraId="38C4F27C" w14:textId="23AC6421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En ese marco de acciones estatales, desde la producción normativa, se generó el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Decreto 216 de 2021, mediante el cual se adoptó el Estatuto Temporal de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Protección para Migrantes Venezolanos, esto como un instrumento jurídico de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protección temporal dirigido a la población migrante venezolana, por medio del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cual se busca generar el registro de información de esta población migrante y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posteriormente otorgar un beneficio temporal de regularización (art. 3 del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Decreto 216 de 2021).</w:t>
      </w:r>
    </w:p>
    <w:p w:rsidR="00662542" w:rsidP="00662542" w:rsidRDefault="00662542" w14:paraId="74993AAF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662542" w:rsidP="00662542" w:rsidRDefault="00662542" w14:paraId="50C5B7A8" w14:textId="60CA34C7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Así mismo, esta norma creó el permiso por protección temporal (PPT), indicando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en el artículo 11 del Decreto en cita que la naturaleza jurídica de este permiso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implicaba una regularidad migratoria especial y un documento de identificación,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señalando:</w:t>
      </w:r>
    </w:p>
    <w:p w:rsidR="00662542" w:rsidP="00662542" w:rsidRDefault="00662542" w14:paraId="0E07F3E8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662542" w:rsidR="00662542" w:rsidP="00662542" w:rsidRDefault="00662542" w14:paraId="601809BE" w14:textId="77777777">
      <w:pPr>
        <w:pStyle w:val="Sinespaciado"/>
        <w:ind w:left="426"/>
        <w:jc w:val="both"/>
        <w:rPr>
          <w:rFonts w:ascii="Verdana" w:hAnsi="Verdana"/>
          <w:b/>
          <w:bCs/>
          <w:i/>
          <w:iCs/>
          <w:sz w:val="22"/>
          <w:szCs w:val="22"/>
        </w:rPr>
      </w:pPr>
      <w:r w:rsidRPr="00662542">
        <w:rPr>
          <w:rFonts w:ascii="Verdana" w:hAnsi="Verdana"/>
          <w:b/>
          <w:bCs/>
          <w:i/>
          <w:iCs/>
          <w:sz w:val="22"/>
          <w:szCs w:val="22"/>
        </w:rPr>
        <w:t>“ARTÍCULO 11. Naturaleza jurídica del Permiso por Protección Temporal</w:t>
      </w:r>
    </w:p>
    <w:p w:rsidRPr="00662542" w:rsidR="00662542" w:rsidP="00662542" w:rsidRDefault="00662542" w14:paraId="6B274475" w14:textId="3043B2DB">
      <w:pPr>
        <w:pStyle w:val="Sinespaciado"/>
        <w:ind w:left="426"/>
        <w:jc w:val="both"/>
        <w:rPr>
          <w:rFonts w:ascii="Verdana" w:hAnsi="Verdana"/>
          <w:i/>
          <w:iCs/>
          <w:sz w:val="22"/>
          <w:szCs w:val="22"/>
        </w:rPr>
      </w:pPr>
      <w:r w:rsidRPr="00662542">
        <w:rPr>
          <w:rFonts w:ascii="Verdana" w:hAnsi="Verdana"/>
          <w:b/>
          <w:bCs/>
          <w:i/>
          <w:iCs/>
          <w:sz w:val="22"/>
          <w:szCs w:val="22"/>
        </w:rPr>
        <w:lastRenderedPageBreak/>
        <w:t xml:space="preserve">(PPT). </w:t>
      </w:r>
      <w:r w:rsidRPr="00662542">
        <w:rPr>
          <w:rFonts w:ascii="Verdana" w:hAnsi="Verdana"/>
          <w:i/>
          <w:iCs/>
          <w:sz w:val="22"/>
          <w:szCs w:val="22"/>
        </w:rPr>
        <w:t>Es un mecanismo de regularización migratoria y documento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62542">
        <w:rPr>
          <w:rFonts w:ascii="Verdana" w:hAnsi="Verdana"/>
          <w:i/>
          <w:iCs/>
          <w:sz w:val="22"/>
          <w:szCs w:val="22"/>
        </w:rPr>
        <w:t>identificación, que autoriza a los migrantes venezolanos a permanecer en 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62542">
        <w:rPr>
          <w:rFonts w:ascii="Verdana" w:hAnsi="Verdana"/>
          <w:i/>
          <w:iCs/>
          <w:sz w:val="22"/>
          <w:szCs w:val="22"/>
        </w:rPr>
        <w:t>territorio nacional en condiciones de regularidad migratoria especiales, y a ejercer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62542">
        <w:rPr>
          <w:rFonts w:ascii="Verdana" w:hAnsi="Verdana"/>
          <w:i/>
          <w:iCs/>
          <w:sz w:val="22"/>
          <w:szCs w:val="22"/>
        </w:rPr>
        <w:t>durante su vigencia, cualquier actividad u ocupación legal en el país, incluidas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62542">
        <w:rPr>
          <w:rFonts w:ascii="Verdana" w:hAnsi="Verdana"/>
          <w:i/>
          <w:iCs/>
          <w:sz w:val="22"/>
          <w:szCs w:val="22"/>
        </w:rPr>
        <w:t>aquellas que se desarrollen en virtud de una vinculación o de contrato laboral, sin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62542">
        <w:rPr>
          <w:rFonts w:ascii="Verdana" w:hAnsi="Verdana"/>
          <w:i/>
          <w:iCs/>
          <w:sz w:val="22"/>
          <w:szCs w:val="22"/>
        </w:rPr>
        <w:t>perjuicio del cumplimiento de los requisitos establecidos en el ordenamiento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62542">
        <w:rPr>
          <w:rFonts w:ascii="Verdana" w:hAnsi="Verdana"/>
          <w:i/>
          <w:iCs/>
          <w:sz w:val="22"/>
          <w:szCs w:val="22"/>
        </w:rPr>
        <w:t>jurídico colombiano para el ejercicio de las actividades reguladas.</w:t>
      </w:r>
    </w:p>
    <w:p w:rsidR="00662542" w:rsidP="00662542" w:rsidRDefault="00662542" w14:paraId="6F809D68" w14:textId="77777777">
      <w:pPr>
        <w:pStyle w:val="Sinespaciado"/>
        <w:ind w:left="426"/>
        <w:jc w:val="both"/>
        <w:rPr>
          <w:rFonts w:ascii="Verdana" w:hAnsi="Verdana"/>
          <w:b/>
          <w:bCs/>
          <w:i/>
          <w:iCs/>
          <w:sz w:val="22"/>
          <w:szCs w:val="22"/>
        </w:rPr>
      </w:pPr>
    </w:p>
    <w:p w:rsidR="00662542" w:rsidP="00662542" w:rsidRDefault="00662542" w14:paraId="6A1C8709" w14:textId="0E34EF66">
      <w:pPr>
        <w:pStyle w:val="Sinespaciado"/>
        <w:ind w:left="426"/>
        <w:jc w:val="both"/>
        <w:rPr>
          <w:rFonts w:ascii="Verdana" w:hAnsi="Verdana"/>
          <w:i/>
          <w:iCs/>
          <w:sz w:val="22"/>
          <w:szCs w:val="22"/>
        </w:rPr>
      </w:pPr>
      <w:r w:rsidRPr="00662542">
        <w:rPr>
          <w:rFonts w:ascii="Verdana" w:hAnsi="Verdana"/>
          <w:b/>
          <w:bCs/>
          <w:i/>
          <w:iCs/>
          <w:sz w:val="22"/>
          <w:szCs w:val="22"/>
        </w:rPr>
        <w:t xml:space="preserve">PARÁGRAFO 1. </w:t>
      </w:r>
      <w:r w:rsidRPr="00662542">
        <w:rPr>
          <w:rFonts w:ascii="Verdana" w:hAnsi="Verdana"/>
          <w:i/>
          <w:iCs/>
          <w:sz w:val="22"/>
          <w:szCs w:val="22"/>
        </w:rPr>
        <w:t>El Permiso por Protección Temporal (PPT) contemplado en 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62542">
        <w:rPr>
          <w:rFonts w:ascii="Verdana" w:hAnsi="Verdana"/>
          <w:i/>
          <w:iCs/>
          <w:sz w:val="22"/>
          <w:szCs w:val="22"/>
        </w:rPr>
        <w:t>presente Estatuto, permitirá al migrante venezolano acreditar su permanencia en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62542">
        <w:rPr>
          <w:rFonts w:ascii="Verdana" w:hAnsi="Verdana"/>
          <w:i/>
          <w:iCs/>
          <w:sz w:val="22"/>
          <w:szCs w:val="22"/>
        </w:rPr>
        <w:t>Colombia para los efectos de la acumulación del tiempo requerido para aplicar 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62542">
        <w:rPr>
          <w:rFonts w:ascii="Verdana" w:hAnsi="Verdana"/>
          <w:i/>
          <w:iCs/>
          <w:sz w:val="22"/>
          <w:szCs w:val="22"/>
        </w:rPr>
        <w:t>una Visa Tipo R, en los términos y bajo las condiciones establecidas por el Ministerio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62542">
        <w:rPr>
          <w:rFonts w:ascii="Verdana" w:hAnsi="Verdana"/>
          <w:i/>
          <w:iCs/>
          <w:sz w:val="22"/>
          <w:szCs w:val="22"/>
        </w:rPr>
        <w:t>de Relaciones Exteriores, mediante acto administrativo.</w:t>
      </w:r>
    </w:p>
    <w:p w:rsidRPr="00662542" w:rsidR="00662542" w:rsidP="00662542" w:rsidRDefault="00662542" w14:paraId="274F163F" w14:textId="77777777">
      <w:pPr>
        <w:pStyle w:val="Sinespaciado"/>
        <w:ind w:left="426"/>
        <w:jc w:val="both"/>
        <w:rPr>
          <w:rFonts w:ascii="Verdana" w:hAnsi="Verdana"/>
          <w:i/>
          <w:iCs/>
          <w:sz w:val="22"/>
          <w:szCs w:val="22"/>
        </w:rPr>
      </w:pPr>
    </w:p>
    <w:p w:rsidR="003E6683" w:rsidP="00662542" w:rsidRDefault="00662542" w14:paraId="312BF7B1" w14:textId="2F77755A">
      <w:pPr>
        <w:pStyle w:val="Sinespaciado"/>
        <w:ind w:left="426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b/>
          <w:bCs/>
          <w:i/>
          <w:iCs/>
          <w:sz w:val="22"/>
          <w:szCs w:val="22"/>
        </w:rPr>
        <w:t xml:space="preserve">PARÁGRAFO 2. </w:t>
      </w:r>
      <w:r w:rsidRPr="00662542">
        <w:rPr>
          <w:rFonts w:ascii="Verdana" w:hAnsi="Verdana"/>
          <w:i/>
          <w:iCs/>
          <w:sz w:val="22"/>
          <w:szCs w:val="22"/>
        </w:rPr>
        <w:t>Los titulares de Permiso Especial de Permanencia (PEP) vigente 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62542">
        <w:rPr>
          <w:rFonts w:ascii="Verdana" w:hAnsi="Verdana"/>
          <w:i/>
          <w:iCs/>
          <w:sz w:val="22"/>
          <w:szCs w:val="22"/>
        </w:rPr>
        <w:t xml:space="preserve">la fecha de </w:t>
      </w:r>
      <w:proofErr w:type="gramStart"/>
      <w:r w:rsidRPr="00662542">
        <w:rPr>
          <w:rFonts w:ascii="Verdana" w:hAnsi="Verdana"/>
          <w:i/>
          <w:iCs/>
          <w:sz w:val="22"/>
          <w:szCs w:val="22"/>
        </w:rPr>
        <w:t>entrada en vigencia</w:t>
      </w:r>
      <w:proofErr w:type="gramEnd"/>
      <w:r w:rsidRPr="00662542">
        <w:rPr>
          <w:rFonts w:ascii="Verdana" w:hAnsi="Verdana"/>
          <w:i/>
          <w:iCs/>
          <w:sz w:val="22"/>
          <w:szCs w:val="22"/>
        </w:rPr>
        <w:t xml:space="preserve"> del presente Estatuto, podrán acreditar con este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62542">
        <w:rPr>
          <w:rFonts w:ascii="Verdana" w:hAnsi="Verdana"/>
          <w:i/>
          <w:iCs/>
          <w:sz w:val="22"/>
          <w:szCs w:val="22"/>
        </w:rPr>
        <w:t>documento su permanencia en Colombia para los efectos de la acumulación del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62542">
        <w:rPr>
          <w:rFonts w:ascii="Verdana" w:hAnsi="Verdana"/>
          <w:i/>
          <w:iCs/>
          <w:sz w:val="22"/>
          <w:szCs w:val="22"/>
        </w:rPr>
        <w:t>tiempo requerido para aplicar a una Visa Tipo R, en los términos y bajo las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62542">
        <w:rPr>
          <w:rFonts w:ascii="Verdana" w:hAnsi="Verdana"/>
          <w:i/>
          <w:iCs/>
          <w:sz w:val="22"/>
          <w:szCs w:val="22"/>
        </w:rPr>
        <w:t>condiciones establecidas por el Ministerio de Relaciones Exteriores, mediante acto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662542">
        <w:rPr>
          <w:rFonts w:ascii="Verdana" w:hAnsi="Verdana"/>
          <w:i/>
          <w:iCs/>
          <w:sz w:val="22"/>
          <w:szCs w:val="22"/>
        </w:rPr>
        <w:t>administrativo.</w:t>
      </w:r>
    </w:p>
    <w:p w:rsidR="003E6683" w:rsidP="003E6683" w:rsidRDefault="003E6683" w14:paraId="27134D32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662542" w:rsidP="00662542" w:rsidRDefault="00662542" w14:paraId="1629CA3A" w14:textId="65DF7F00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De acuerdo con lo consignado, puede decirse que este permiso especial posee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como características las siguientes: (i) busca regularizar la situación migratoria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de las personas venezolanas presentes en el territorio colombiano; (</w:t>
      </w:r>
      <w:proofErr w:type="spellStart"/>
      <w:r w:rsidRPr="00662542">
        <w:rPr>
          <w:rFonts w:ascii="Verdana" w:hAnsi="Verdana"/>
          <w:sz w:val="22"/>
          <w:szCs w:val="22"/>
        </w:rPr>
        <w:t>ii</w:t>
      </w:r>
      <w:proofErr w:type="spellEnd"/>
      <w:r w:rsidRPr="00662542">
        <w:rPr>
          <w:rFonts w:ascii="Verdana" w:hAnsi="Verdana"/>
          <w:sz w:val="22"/>
          <w:szCs w:val="22"/>
        </w:rPr>
        <w:t xml:space="preserve">) sirve </w:t>
      </w:r>
      <w:r>
        <w:rPr>
          <w:rFonts w:ascii="Verdana" w:hAnsi="Verdana"/>
          <w:sz w:val="22"/>
          <w:szCs w:val="22"/>
        </w:rPr>
        <w:t xml:space="preserve"> c</w:t>
      </w:r>
      <w:r w:rsidRPr="00662542">
        <w:rPr>
          <w:rFonts w:ascii="Verdana" w:hAnsi="Verdana"/>
          <w:sz w:val="22"/>
          <w:szCs w:val="22"/>
        </w:rPr>
        <w:t>omo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documento de identificación; (</w:t>
      </w:r>
      <w:proofErr w:type="spellStart"/>
      <w:r w:rsidRPr="00662542">
        <w:rPr>
          <w:rFonts w:ascii="Verdana" w:hAnsi="Verdana"/>
          <w:sz w:val="22"/>
          <w:szCs w:val="22"/>
        </w:rPr>
        <w:t>iii</w:t>
      </w:r>
      <w:proofErr w:type="spellEnd"/>
      <w:r w:rsidRPr="00662542">
        <w:rPr>
          <w:rFonts w:ascii="Verdana" w:hAnsi="Verdana"/>
          <w:sz w:val="22"/>
          <w:szCs w:val="22"/>
        </w:rPr>
        <w:t>) permite ejercer cualquier actividad u ocupación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legal en Colombia; (</w:t>
      </w:r>
      <w:proofErr w:type="spellStart"/>
      <w:r w:rsidRPr="00662542">
        <w:rPr>
          <w:rFonts w:ascii="Verdana" w:hAnsi="Verdana"/>
          <w:sz w:val="22"/>
          <w:szCs w:val="22"/>
        </w:rPr>
        <w:t>iv</w:t>
      </w:r>
      <w:proofErr w:type="spellEnd"/>
      <w:r w:rsidRPr="00662542">
        <w:rPr>
          <w:rFonts w:ascii="Verdana" w:hAnsi="Verdana"/>
          <w:sz w:val="22"/>
          <w:szCs w:val="22"/>
        </w:rPr>
        <w:t>) permite acreditar la permanencia en Colombia para los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efectos de la acumulación del tiempo requerido para aplicar a una Visa Tipo R; y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(v) en virtud del artículo 14 del Decreto, el permiso rige hasta la fecha del último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día en que esté vigente el Estatuto contemplado por el Decreto y no será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prorrogable, salvo que el Gobierno Nacional en su momento lo decida.</w:t>
      </w:r>
    </w:p>
    <w:p w:rsidRPr="00662542" w:rsidR="00662542" w:rsidP="00662542" w:rsidRDefault="00662542" w14:paraId="194DC79C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662542" w:rsidP="00662542" w:rsidRDefault="00662542" w14:paraId="08026EF6" w14:textId="55826B28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Es de resaltar que el permiso por protección temporal, a voces del numeral 4 del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artículo 15 del Decreto 216 de 2021, será cancelado por la autoridad migratoria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cuando el titular del Permiso por Protección Temporal se ausente del territorio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nacional por un período superior a ciento ochenta (180) días calendario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continuos.</w:t>
      </w:r>
    </w:p>
    <w:p w:rsidRPr="00662542" w:rsidR="00662542" w:rsidP="00662542" w:rsidRDefault="00662542" w14:paraId="02A4386F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662542" w14:paraId="361F44CB" w14:textId="48757DB5">
      <w:pPr>
        <w:pStyle w:val="Sinespaciado"/>
        <w:jc w:val="both"/>
        <w:rPr>
          <w:rFonts w:ascii="Verdana" w:hAnsi="Verdana"/>
          <w:sz w:val="22"/>
          <w:szCs w:val="22"/>
        </w:rPr>
      </w:pPr>
      <w:r w:rsidRPr="00662542">
        <w:rPr>
          <w:rFonts w:ascii="Verdana" w:hAnsi="Verdana"/>
          <w:sz w:val="22"/>
          <w:szCs w:val="22"/>
        </w:rPr>
        <w:t>Ahora bien, el estatuto de protección establecido en el Decreto 216 de 2021,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reglamentó el permiso por protección temporal (PPT) mediante Resolución 971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de 2021 de la Unidad Administrativa Especial Migración Colombia, donde se</w:t>
      </w:r>
      <w:r>
        <w:rPr>
          <w:rFonts w:ascii="Verdana" w:hAnsi="Verdana"/>
          <w:sz w:val="22"/>
          <w:szCs w:val="22"/>
        </w:rPr>
        <w:t xml:space="preserve"> </w:t>
      </w:r>
      <w:r w:rsidRPr="00662542">
        <w:rPr>
          <w:rFonts w:ascii="Verdana" w:hAnsi="Verdana"/>
          <w:sz w:val="22"/>
          <w:szCs w:val="22"/>
        </w:rPr>
        <w:t>indicó que el Estatuto Temporal de Protección para Migrantes Venezolanos Bajo</w:t>
      </w:r>
      <w:r>
        <w:rPr>
          <w:rFonts w:ascii="Verdana" w:hAnsi="Verdana"/>
          <w:sz w:val="22"/>
          <w:szCs w:val="22"/>
        </w:rPr>
        <w:t xml:space="preserve"> </w:t>
      </w:r>
      <w:r w:rsidRPr="009214F6" w:rsidR="009214F6">
        <w:rPr>
          <w:rFonts w:ascii="Verdana" w:hAnsi="Verdana"/>
          <w:sz w:val="22"/>
          <w:szCs w:val="22"/>
        </w:rPr>
        <w:t>Régimen de Protección Temporal aplica para los migrantes venezolanos que</w:t>
      </w:r>
      <w:r w:rsidR="009214F6">
        <w:rPr>
          <w:rFonts w:ascii="Verdana" w:hAnsi="Verdana"/>
          <w:sz w:val="22"/>
          <w:szCs w:val="22"/>
        </w:rPr>
        <w:t xml:space="preserve"> </w:t>
      </w:r>
      <w:r w:rsidRPr="009214F6" w:rsidR="009214F6">
        <w:rPr>
          <w:rFonts w:ascii="Verdana" w:hAnsi="Verdana"/>
          <w:sz w:val="22"/>
          <w:szCs w:val="22"/>
        </w:rPr>
        <w:t xml:space="preserve">deseen permanecer de </w:t>
      </w:r>
      <w:r w:rsidRPr="009214F6" w:rsidR="009214F6">
        <w:rPr>
          <w:rFonts w:ascii="Verdana" w:hAnsi="Verdana"/>
          <w:sz w:val="22"/>
          <w:szCs w:val="22"/>
          <w:u w:val="single"/>
        </w:rPr>
        <w:t>manera temporal</w:t>
      </w:r>
      <w:r w:rsidRPr="009214F6" w:rsidR="009214F6">
        <w:rPr>
          <w:rFonts w:ascii="Verdana" w:hAnsi="Verdana"/>
          <w:sz w:val="22"/>
          <w:szCs w:val="22"/>
        </w:rPr>
        <w:t xml:space="preserve"> en el territorio nacional (art. 2</w:t>
      </w:r>
      <w:r w:rsidR="009214F6">
        <w:rPr>
          <w:rFonts w:ascii="Verdana" w:hAnsi="Verdana"/>
          <w:sz w:val="22"/>
          <w:szCs w:val="22"/>
        </w:rPr>
        <w:t xml:space="preserve"> </w:t>
      </w:r>
      <w:r w:rsidRPr="009214F6" w:rsidR="009214F6">
        <w:rPr>
          <w:rFonts w:ascii="Verdana" w:hAnsi="Verdana"/>
          <w:sz w:val="22"/>
          <w:szCs w:val="22"/>
        </w:rPr>
        <w:t>Resolución 971 de 2021).</w:t>
      </w:r>
    </w:p>
    <w:p w:rsidRPr="009214F6" w:rsidR="009214F6" w:rsidP="009214F6" w:rsidRDefault="009214F6" w14:paraId="4DDC1F3C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0818D0E4" w14:textId="14B6A32C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lastRenderedPageBreak/>
        <w:t>De igual manera, consecuente con la temporalidad del estatuto de protección y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el permiso por protección temporal (PPT), el artículo 15 de la Resolución citada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anteriormente, señala los requisitos para solicitar el permiso por protección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temporal (PPT) consagrando en su numeral 1 que es necesario estar incluido en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el Registro Único de Migrantes Venezolanos (RUMV) (</w:t>
      </w:r>
      <w:proofErr w:type="spellStart"/>
      <w:r w:rsidRPr="009214F6">
        <w:rPr>
          <w:rFonts w:ascii="Verdana" w:hAnsi="Verdana"/>
          <w:sz w:val="22"/>
          <w:szCs w:val="22"/>
        </w:rPr>
        <w:t>Prerregistro</w:t>
      </w:r>
      <w:proofErr w:type="spellEnd"/>
      <w:r w:rsidRPr="009214F6">
        <w:rPr>
          <w:rFonts w:ascii="Verdana" w:hAnsi="Verdana"/>
          <w:sz w:val="22"/>
          <w:szCs w:val="22"/>
        </w:rPr>
        <w:t xml:space="preserve"> Virtual,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diligenciamiento de la encuesta socioeconómica y Registro Biométrico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Presencial). Este registro contempla como requisitos para su inclusión, en el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numeral 4 del artículo 5 de la Resolución, declarar de forma expresa en el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 w:rsidRPr="009214F6">
        <w:rPr>
          <w:rFonts w:ascii="Verdana" w:hAnsi="Verdana"/>
          <w:sz w:val="22"/>
          <w:szCs w:val="22"/>
        </w:rPr>
        <w:t>Prerregistro</w:t>
      </w:r>
      <w:proofErr w:type="spellEnd"/>
      <w:r w:rsidRPr="009214F6">
        <w:rPr>
          <w:rFonts w:ascii="Verdana" w:hAnsi="Verdana"/>
          <w:sz w:val="22"/>
          <w:szCs w:val="22"/>
        </w:rPr>
        <w:t xml:space="preserve"> Virtual la intención de permanecer temporalmente en Colombia.</w:t>
      </w:r>
    </w:p>
    <w:p w:rsidRPr="009214F6" w:rsidR="009214F6" w:rsidP="009214F6" w:rsidRDefault="009214F6" w14:paraId="091EAB15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6BDB401C" w14:textId="2406C9BD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En el caso de niños, niñas y adolescentes venezolanos, la Resolución 971 de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2021 establece que les son aplicables las prerrogativas del estatuto temporal de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protección siempre que reúna los requisitos del artículo 2 de la Resolución3,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valorando especialmente la especial situación de vulnerabilidad de las personas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menores de edad que estén no acompañados, separados, de aquellos que no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tienen documentación y de quienes se encuentren en un Proceso Administrativo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de Restablecimiento de Derechos (PARD) o en el Sistema de Responsabilidad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Penal para Adolescentes (SRPA).</w:t>
      </w:r>
    </w:p>
    <w:p w:rsidRPr="009214F6" w:rsidR="009214F6" w:rsidP="009214F6" w:rsidRDefault="009214F6" w14:paraId="55FFE812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17DC2B5B" w14:textId="2FA53A28">
      <w:pPr>
        <w:pStyle w:val="Sinespaciado"/>
        <w:jc w:val="both"/>
        <w:rPr>
          <w:rFonts w:ascii="Verdana" w:hAnsi="Verdana"/>
          <w:i/>
          <w:iCs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De esa parte de la Resolución generada en pro de las personas que no han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cumplido 18 años, la Corte Constitucional reconoce el desarrollo del artículo 44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de la Constitución, dando prevalencia a los derechos de los niños, niñas y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 xml:space="preserve">adolescentes, indicando en sentencia T-356 de 2023: </w:t>
      </w:r>
      <w:r w:rsidRPr="009214F6">
        <w:rPr>
          <w:rFonts w:ascii="Verdana" w:hAnsi="Verdana"/>
          <w:i/>
          <w:iCs/>
          <w:sz w:val="22"/>
          <w:szCs w:val="22"/>
        </w:rPr>
        <w:t>la regulación en comento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demanda mayor diligencia y cuidado de Migración Colombia en el trámite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acceso al PPT por parte de los NNA, como parte del desarrollo del artículo 44 del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texto superior. En efecto, no se permite la expedición virtual del documento y su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entrega solo se realiza de manera presencial y con cita previa, otorgando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reglas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de priorización en la etapa de registro biométrico, a fin de garantizar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realización del derecho fundamental a la educación.</w:t>
      </w:r>
    </w:p>
    <w:p w:rsidRPr="009214F6" w:rsidR="009214F6" w:rsidP="009214F6" w:rsidRDefault="009214F6" w14:paraId="653A2B15" w14:textId="77777777">
      <w:pPr>
        <w:pStyle w:val="Sinespaciado"/>
        <w:jc w:val="both"/>
        <w:rPr>
          <w:rFonts w:ascii="Verdana" w:hAnsi="Verdana"/>
          <w:i/>
          <w:iCs/>
          <w:sz w:val="22"/>
          <w:szCs w:val="22"/>
        </w:rPr>
      </w:pPr>
    </w:p>
    <w:p w:rsidR="009214F6" w:rsidP="009214F6" w:rsidRDefault="009214F6" w14:paraId="3BC087CB" w14:textId="67AABE01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Finalmente, las normas posteriores para el reconocimiento de la nacionalidad</w:t>
      </w:r>
      <w:r>
        <w:rPr>
          <w:rFonts w:ascii="Verdana" w:hAnsi="Verdana"/>
          <w:sz w:val="22"/>
          <w:szCs w:val="22"/>
        </w:rPr>
        <w:t xml:space="preserve"> </w:t>
      </w:r>
      <w:proofErr w:type="gramStart"/>
      <w:r w:rsidRPr="009214F6">
        <w:rPr>
          <w:rFonts w:ascii="Verdana" w:hAnsi="Verdana"/>
          <w:sz w:val="22"/>
          <w:szCs w:val="22"/>
        </w:rPr>
        <w:t>colombiana,</w:t>
      </w:r>
      <w:proofErr w:type="gramEnd"/>
      <w:r w:rsidRPr="009214F6">
        <w:rPr>
          <w:rFonts w:ascii="Verdana" w:hAnsi="Verdana"/>
          <w:sz w:val="22"/>
          <w:szCs w:val="22"/>
        </w:rPr>
        <w:t xml:space="preserve"> se han referido a las normas especiales de permisos temporales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frente a la residencia habitual. Concretamente, la Ley 2332 de 2023 en el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parágrafo tercero del artículo cuarto, indicó:</w:t>
      </w:r>
    </w:p>
    <w:p w:rsidRPr="009214F6" w:rsidR="009214F6" w:rsidP="009214F6" w:rsidRDefault="009214F6" w14:paraId="157B6407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9214F6" w:rsidR="009214F6" w:rsidP="009214F6" w:rsidRDefault="009214F6" w14:paraId="740D9F6F" w14:textId="7E1041BC">
      <w:pPr>
        <w:pStyle w:val="Sinespaciado"/>
        <w:ind w:left="284"/>
        <w:jc w:val="both"/>
        <w:rPr>
          <w:rFonts w:ascii="Verdana" w:hAnsi="Verdana"/>
          <w:i/>
          <w:iCs/>
          <w:sz w:val="22"/>
          <w:szCs w:val="22"/>
        </w:rPr>
      </w:pPr>
      <w:r w:rsidRPr="009214F6">
        <w:rPr>
          <w:rFonts w:ascii="Verdana" w:hAnsi="Verdana"/>
          <w:i/>
          <w:iCs/>
          <w:sz w:val="22"/>
          <w:szCs w:val="22"/>
        </w:rPr>
        <w:t>“PARÁGRAFO 3°. De igual manera, se presume el ánimo de permanencia de los</w:t>
      </w:r>
      <w:r w:rsidRPr="009214F6"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extranjeros que estén cobijados por mecanismos temporales o especiales de</w:t>
      </w:r>
      <w:r w:rsidRPr="009214F6"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flexibilización migratoria, cuando las circunstancias especiales de un país o</w:t>
      </w:r>
      <w:r w:rsidRPr="009214F6"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nacionalidad lo hayan hecho necesario, en concordancia con el artículo 14 de la Ley</w:t>
      </w:r>
      <w:r w:rsidRPr="009214F6"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2136 de 2021.”</w:t>
      </w:r>
    </w:p>
    <w:p w:rsidR="009214F6" w:rsidP="009214F6" w:rsidRDefault="009214F6" w14:paraId="10097D7E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571A8421" w14:textId="0038C495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A efectos de este artículo, debe entenderse que el mismo contribuye, desde la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presunción del ánimo de permanencia, a la prueba del domicilio de los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extranjeros en Colombia. Esto permitiría otorgar la nacionalidad colombiana por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nacimiento a las personas nacidas dentro de los límites del territorio nacional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siempre y cuando, entre otros eventos, siendo hijos de extranjeros, el padre y/o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la madre estuvieren domiciliados en Colombia al momento del nacimiento (art.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de la Ley 2332 de 2023).</w:t>
      </w:r>
    </w:p>
    <w:p w:rsidRPr="009214F6" w:rsidR="009214F6" w:rsidP="009214F6" w:rsidRDefault="009214F6" w14:paraId="798F8D9A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9214F6" w:rsidR="009214F6" w:rsidP="009214F6" w:rsidRDefault="009214F6" w14:paraId="2F4BC6B9" w14:textId="3FB37AFC">
      <w:pPr>
        <w:pStyle w:val="Sinespaciado"/>
        <w:numPr>
          <w:ilvl w:val="1"/>
          <w:numId w:val="1"/>
        </w:numPr>
        <w:jc w:val="both"/>
        <w:rPr>
          <w:rFonts w:ascii="Verdana" w:hAnsi="Verdana"/>
          <w:b/>
          <w:bCs/>
          <w:sz w:val="22"/>
          <w:szCs w:val="22"/>
        </w:rPr>
      </w:pPr>
      <w:r w:rsidRPr="009214F6">
        <w:rPr>
          <w:rFonts w:ascii="Verdana" w:hAnsi="Verdana"/>
          <w:b/>
          <w:bCs/>
          <w:sz w:val="22"/>
          <w:szCs w:val="22"/>
        </w:rPr>
        <w:t>Domicilio y residencia</w:t>
      </w:r>
    </w:p>
    <w:p w:rsidRPr="009214F6" w:rsidR="009214F6" w:rsidP="009214F6" w:rsidRDefault="009214F6" w14:paraId="70FD47AC" w14:textId="77777777">
      <w:pPr>
        <w:pStyle w:val="Sinespaciado"/>
        <w:ind w:left="1080"/>
        <w:jc w:val="both"/>
        <w:rPr>
          <w:rFonts w:ascii="Verdana" w:hAnsi="Verdana"/>
          <w:b/>
          <w:bCs/>
          <w:sz w:val="22"/>
          <w:szCs w:val="22"/>
        </w:rPr>
      </w:pPr>
    </w:p>
    <w:p w:rsidRPr="009214F6" w:rsidR="009214F6" w:rsidP="009214F6" w:rsidRDefault="009214F6" w14:paraId="5DA79CB9" w14:textId="252660B9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Teniendo en cuenta las normas referenciadas, estas permiten indicar que el</w:t>
      </w:r>
      <w:r w:rsidRPr="009214F6"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contexto apunta a niños, niñas y adolescentes de nacionalidad venezolana, con</w:t>
      </w:r>
      <w:r w:rsidRPr="009214F6"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dos condiciones de hecho: (i) son poseedores del permiso por protección</w:t>
      </w:r>
      <w:r w:rsidRPr="009214F6"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temporal (PPT), y (</w:t>
      </w:r>
      <w:proofErr w:type="spellStart"/>
      <w:r w:rsidRPr="009214F6">
        <w:rPr>
          <w:rFonts w:ascii="Verdana" w:hAnsi="Verdana"/>
          <w:sz w:val="22"/>
          <w:szCs w:val="22"/>
        </w:rPr>
        <w:t>ii</w:t>
      </w:r>
      <w:proofErr w:type="spellEnd"/>
      <w:r w:rsidRPr="009214F6">
        <w:rPr>
          <w:rFonts w:ascii="Verdana" w:hAnsi="Verdana"/>
          <w:sz w:val="22"/>
          <w:szCs w:val="22"/>
        </w:rPr>
        <w:t>) sus padres o representantes legales no pueden otorgar el</w:t>
      </w:r>
    </w:p>
    <w:p w:rsidR="009214F6" w:rsidP="009214F6" w:rsidRDefault="009214F6" w14:paraId="023447AB" w14:textId="4C59713F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permiso de salida del país.</w:t>
      </w:r>
      <w:r w:rsidRPr="009214F6">
        <w:rPr>
          <w:rFonts w:ascii="Verdana" w:hAnsi="Verdana"/>
          <w:sz w:val="22"/>
          <w:szCs w:val="22"/>
        </w:rPr>
        <w:t xml:space="preserve"> </w:t>
      </w:r>
    </w:p>
    <w:p w:rsidRPr="009214F6" w:rsidR="009214F6" w:rsidP="009214F6" w:rsidRDefault="009214F6" w14:paraId="5D76E922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9214F6" w:rsidR="009214F6" w:rsidP="009214F6" w:rsidRDefault="009214F6" w14:paraId="7095ED87" w14:textId="44F26CAA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Este último hecho concuerda con lo descrito en el inciso sexto del artículo 110 de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la Ley 1098 de 2006, el cual reglamenta la autorización de salida del país en el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evento en que las personas menores de edad (i) sean residentes en Colombia, y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(</w:t>
      </w:r>
      <w:proofErr w:type="spellStart"/>
      <w:r w:rsidRPr="009214F6">
        <w:rPr>
          <w:rFonts w:ascii="Verdana" w:hAnsi="Verdana"/>
          <w:sz w:val="22"/>
          <w:szCs w:val="22"/>
        </w:rPr>
        <w:t>ii</w:t>
      </w:r>
      <w:proofErr w:type="spellEnd"/>
      <w:r w:rsidRPr="009214F6">
        <w:rPr>
          <w:rFonts w:ascii="Verdana" w:hAnsi="Verdana"/>
          <w:sz w:val="22"/>
          <w:szCs w:val="22"/>
        </w:rPr>
        <w:t>) carezcan de representante legal, sea porque se desconozca su paradero o no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se encuentre en condiciones de otorgarlo. Estos eventos concurrentes harían</w:t>
      </w:r>
    </w:p>
    <w:p w:rsidRPr="009214F6" w:rsidR="009214F6" w:rsidP="009214F6" w:rsidRDefault="009214F6" w14:paraId="42C6445C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obligatoria la actuación del Defensor de Familia para otorgar el permiso de salida</w:t>
      </w:r>
    </w:p>
    <w:p w:rsidR="009214F6" w:rsidP="009214F6" w:rsidRDefault="009214F6" w14:paraId="4B39620D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de acuerdo con el trámite definido en el artículo 110 citado.</w:t>
      </w:r>
    </w:p>
    <w:p w:rsidRPr="009214F6" w:rsidR="009214F6" w:rsidP="009214F6" w:rsidRDefault="009214F6" w14:paraId="58C80E81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9214F6" w:rsidR="009214F6" w:rsidP="009214F6" w:rsidRDefault="009214F6" w14:paraId="2CDF17BC" w14:textId="155AA779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Así, la real procedencia de la intervención del Defensor de Familia surge de lo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que debe considerarse residencia, en los términos del artículo 110 de la Ley 1098</w:t>
      </w:r>
    </w:p>
    <w:p w:rsidR="003E6683" w:rsidP="009214F6" w:rsidRDefault="009214F6" w14:paraId="02541F13" w14:textId="059E6530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de 2006.</w:t>
      </w:r>
    </w:p>
    <w:p w:rsidR="009214F6" w:rsidP="009214F6" w:rsidRDefault="009214F6" w14:paraId="533BD5EF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55BC5542" w14:textId="3D2A6436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En consecuencia, una interpretación directa o exegética del término, en un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contexto legal y de corte civilista, evidencia que no es lo mismo residencia que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domicilio, tal como se referenció en el marco jurídico.</w:t>
      </w:r>
    </w:p>
    <w:p w:rsidRPr="009214F6" w:rsidR="009214F6" w:rsidP="009214F6" w:rsidRDefault="009214F6" w14:paraId="7810140A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0863C254" w14:textId="091034A1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La residencia simple es diferente a la residencia con vocación de permanencia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que es una de las partes constitutivas del domicilio. Esto porque de acuerdo con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el artículo 76 y siguientes del Código Civil, se permite diferenciar entre la simple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o mera residencia y la residencia acompañada con el ánimo de permanecer en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ella, esta última asimilable al domicilio, lo cual, nos permite establecer que la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residencia, empleada en el artículo 110 de la Ley 1098 de 2006, debe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corresponder a la simple presencia en un lugar sin el ánimo de permanencia o de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establecerse en aquel lugar.</w:t>
      </w:r>
    </w:p>
    <w:p w:rsidRPr="009214F6" w:rsidR="009214F6" w:rsidP="009214F6" w:rsidRDefault="009214F6" w14:paraId="4C9A2C14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9214F6" w:rsidR="009214F6" w:rsidP="009214F6" w:rsidRDefault="009214F6" w14:paraId="471D185F" w14:textId="2FD4F020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Ahora bien, una interpretación sistemática o articulada, también permite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evidenciar que el artículo propone un concepto de residencia simple, esto al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compararse con los incisos 3 y 4 del artículo, en donde se incluyó el concepto de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residencia habitual en el exterior, frente al inciso 5 que incluyó solo la residencia</w:t>
      </w:r>
    </w:p>
    <w:p w:rsidR="009214F6" w:rsidP="009214F6" w:rsidRDefault="009214F6" w14:paraId="423CD000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sin lo habitual.</w:t>
      </w:r>
    </w:p>
    <w:p w:rsidRPr="009214F6" w:rsidR="009214F6" w:rsidP="009214F6" w:rsidRDefault="009214F6" w14:paraId="6015E28B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9214F6" w:rsidR="009214F6" w:rsidP="009214F6" w:rsidRDefault="009214F6" w14:paraId="375077D2" w14:textId="4238F4A4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Lo anterior permite considerar que el Legislador estableció un trato diferente a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 xml:space="preserve">niños, niñas y adolescentes con una residencia habitual en el exterior mayor </w:t>
      </w:r>
      <w:proofErr w:type="gramStart"/>
      <w:r w:rsidRPr="009214F6">
        <w:rPr>
          <w:rFonts w:ascii="Verdana" w:hAnsi="Verdana"/>
          <w:sz w:val="22"/>
          <w:szCs w:val="22"/>
        </w:rPr>
        <w:t xml:space="preserve">a 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un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año y los que tenían una simple residencia y menor a un año, dado que para</w:t>
      </w:r>
    </w:p>
    <w:p w:rsidR="009214F6" w:rsidP="009214F6" w:rsidRDefault="009214F6" w14:paraId="1D8C5D81" w14:textId="5268D440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estos últimos se aplica el trámite total del inciso primero del artículo 110, pero es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más flexible frente a quienes tienen residencia habitual en el exterior,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precisamente porque sería desproporcional imponer más trámites a estas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personas al poseer un arraigo con otro territorio.</w:t>
      </w:r>
    </w:p>
    <w:p w:rsidRPr="009214F6" w:rsidR="009214F6" w:rsidP="009214F6" w:rsidRDefault="009214F6" w14:paraId="0E50C831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9214F6" w:rsidR="009214F6" w:rsidP="009214F6" w:rsidRDefault="009214F6" w14:paraId="2CEBE951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lastRenderedPageBreak/>
        <w:t>Y esto último se traduce en el espíritu del Legislador consagrado en el proyecto</w:t>
      </w:r>
    </w:p>
    <w:p w:rsidRPr="009214F6" w:rsidR="009214F6" w:rsidP="009214F6" w:rsidRDefault="009214F6" w14:paraId="71629EE4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de ley que concluyó con la Ley 1878 de 2018, pues en la exposición de motivos,</w:t>
      </w:r>
    </w:p>
    <w:p w:rsidR="009214F6" w:rsidP="009214F6" w:rsidRDefault="009214F6" w14:paraId="6F768231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contenidos en la Gaceta 211 de 2017, se indicó:</w:t>
      </w:r>
    </w:p>
    <w:p w:rsidRPr="009214F6" w:rsidR="009214F6" w:rsidP="009214F6" w:rsidRDefault="009214F6" w14:paraId="04475A45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29BDC2BA" w14:textId="1024C632">
      <w:pPr>
        <w:pStyle w:val="Sinespaciado"/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9214F6">
        <w:rPr>
          <w:rFonts w:ascii="Verdana" w:hAnsi="Verdana"/>
          <w:i/>
          <w:iCs/>
          <w:sz w:val="22"/>
          <w:szCs w:val="22"/>
        </w:rPr>
        <w:t>“(…) ante el aumento de casos de niños, niñas y adolescentes con residencia en 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exterior que vienen a Colombia por época de vacaciones, encuentros familiares,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tratamientos médicos, etc., y no pueden retornar a los países donde se encuentra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 xml:space="preserve">su arraigo, al no contar por el permiso de salida del país de uno de </w:t>
      </w:r>
      <w:proofErr w:type="spellStart"/>
      <w:r w:rsidRPr="009214F6">
        <w:rPr>
          <w:rFonts w:ascii="Verdana" w:hAnsi="Verdana"/>
          <w:i/>
          <w:iCs/>
          <w:sz w:val="22"/>
          <w:szCs w:val="22"/>
        </w:rPr>
        <w:t>de</w:t>
      </w:r>
      <w:proofErr w:type="spellEnd"/>
      <w:r w:rsidRPr="009214F6">
        <w:rPr>
          <w:rFonts w:ascii="Verdana" w:hAnsi="Verdana"/>
          <w:i/>
          <w:iCs/>
          <w:sz w:val="22"/>
          <w:szCs w:val="22"/>
        </w:rPr>
        <w:t xml:space="preserve"> sus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progenitores, se ve la necesidad de modificar los requisitos establecidos en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legislación colombiana para la salida del país, en el entendido que la restricción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salir del país en estos casos no sea como una medida que garantice los derechos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los menores de edad, contrario a ello, con la delimitación se puede vulnerar los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derechos de los niños involucrados al no permitírseles regresar al lugar de donde se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encuentra su entorno social y educativo.</w:t>
      </w:r>
    </w:p>
    <w:p w:rsidR="009214F6" w:rsidP="009214F6" w:rsidRDefault="009214F6" w14:paraId="001ECD9D" w14:textId="77777777">
      <w:pPr>
        <w:pStyle w:val="Sinespaciado"/>
        <w:ind w:left="567"/>
        <w:jc w:val="both"/>
        <w:rPr>
          <w:rFonts w:ascii="Verdana" w:hAnsi="Verdana"/>
          <w:i/>
          <w:iCs/>
          <w:sz w:val="22"/>
          <w:szCs w:val="22"/>
        </w:rPr>
      </w:pPr>
    </w:p>
    <w:p w:rsidR="009214F6" w:rsidP="009214F6" w:rsidRDefault="009214F6" w14:paraId="028EE18D" w14:textId="075A966C">
      <w:pPr>
        <w:pStyle w:val="Sinespaciado"/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9214F6">
        <w:rPr>
          <w:rFonts w:ascii="Verdana" w:hAnsi="Verdana"/>
          <w:i/>
          <w:iCs/>
          <w:sz w:val="22"/>
          <w:szCs w:val="22"/>
        </w:rPr>
        <w:t>En ese orden, se sugiere que la salida del país de los menores de edad con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residencia en el exterior se permita sin requerir la autorización de ambos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representantes legales, sino que únicamente con el certificado de residencia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habitual del niño en el exterior y con el documento que defina la custodia del niño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encabeza de uno de los progenitores, en los casos que es el menor de edad no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salga del país con el progenitor que tiene la custodia, deberá contar con el permiso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de éste.</w:t>
      </w:r>
    </w:p>
    <w:p w:rsidRPr="009214F6" w:rsidR="009214F6" w:rsidP="009214F6" w:rsidRDefault="009214F6" w14:paraId="4D74EA48" w14:textId="77777777">
      <w:pPr>
        <w:pStyle w:val="Sinespaciado"/>
        <w:ind w:left="567"/>
        <w:jc w:val="both"/>
        <w:rPr>
          <w:rFonts w:ascii="Verdana" w:hAnsi="Verdana"/>
          <w:i/>
          <w:iCs/>
          <w:sz w:val="22"/>
          <w:szCs w:val="22"/>
        </w:rPr>
      </w:pPr>
    </w:p>
    <w:p w:rsidR="003E6683" w:rsidP="009214F6" w:rsidRDefault="009214F6" w14:paraId="361D5D58" w14:textId="22E9FFAF">
      <w:pPr>
        <w:pStyle w:val="Sinespaciado"/>
        <w:ind w:left="567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i/>
          <w:iCs/>
          <w:sz w:val="22"/>
          <w:szCs w:val="22"/>
        </w:rPr>
        <w:t>En ese sentido, es preciso aclarar que se entiende que la residencia habitual de un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 xml:space="preserve">menor de </w:t>
      </w:r>
      <w:proofErr w:type="gramStart"/>
      <w:r w:rsidRPr="009214F6">
        <w:rPr>
          <w:rFonts w:ascii="Verdana" w:hAnsi="Verdana"/>
          <w:i/>
          <w:iCs/>
          <w:sz w:val="22"/>
          <w:szCs w:val="22"/>
        </w:rPr>
        <w:t>edad,</w:t>
      </w:r>
      <w:proofErr w:type="gramEnd"/>
      <w:r w:rsidRPr="009214F6">
        <w:rPr>
          <w:rFonts w:ascii="Verdana" w:hAnsi="Verdana"/>
          <w:i/>
          <w:iCs/>
          <w:sz w:val="22"/>
          <w:szCs w:val="22"/>
        </w:rPr>
        <w:t xml:space="preserve"> se da en el lugar donde ha estado físicamente presente por una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cantidad de tiempo suficiente para la aclimatación, fijando arraigo, entorno social,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económico y estableciendo a la vez vínculos afectivos. Al respecto, para efectos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14F6">
        <w:rPr>
          <w:rFonts w:ascii="Verdana" w:hAnsi="Verdana"/>
          <w:i/>
          <w:iCs/>
          <w:sz w:val="22"/>
          <w:szCs w:val="22"/>
        </w:rPr>
        <w:t>aplicabilidad de esa norma se sugiere que el tiempo establecido es de un año.</w:t>
      </w:r>
    </w:p>
    <w:p w:rsidR="009214F6" w:rsidP="003E6683" w:rsidRDefault="009214F6" w14:paraId="2E3A136B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9214F6" w:rsidR="009214F6" w:rsidP="009214F6" w:rsidRDefault="009214F6" w14:paraId="5FE4FF9F" w14:textId="77777777">
      <w:pPr>
        <w:pStyle w:val="Sinespaciado"/>
        <w:jc w:val="both"/>
        <w:rPr>
          <w:rFonts w:ascii="Verdana" w:hAnsi="Verdana"/>
          <w:i/>
          <w:iCs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 xml:space="preserve">Siguiendo lo anterior, el Legislador pretendió equiparar el concepto de </w:t>
      </w:r>
      <w:r w:rsidRPr="009214F6">
        <w:rPr>
          <w:rFonts w:ascii="Verdana" w:hAnsi="Verdana"/>
          <w:i/>
          <w:iCs/>
          <w:sz w:val="22"/>
          <w:szCs w:val="22"/>
        </w:rPr>
        <w:t>residencia</w:t>
      </w:r>
    </w:p>
    <w:p w:rsidRPr="009214F6" w:rsidR="009214F6" w:rsidP="009214F6" w:rsidRDefault="009214F6" w14:paraId="6F2F619B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i/>
          <w:iCs/>
          <w:sz w:val="22"/>
          <w:szCs w:val="22"/>
        </w:rPr>
        <w:t xml:space="preserve">habitual </w:t>
      </w:r>
      <w:r w:rsidRPr="009214F6">
        <w:rPr>
          <w:rFonts w:ascii="Verdana" w:hAnsi="Verdana"/>
          <w:sz w:val="22"/>
          <w:szCs w:val="22"/>
        </w:rPr>
        <w:t xml:space="preserve">con el de </w:t>
      </w:r>
      <w:r w:rsidRPr="009214F6">
        <w:rPr>
          <w:rFonts w:ascii="Verdana" w:hAnsi="Verdana"/>
          <w:i/>
          <w:iCs/>
          <w:sz w:val="22"/>
          <w:szCs w:val="22"/>
        </w:rPr>
        <w:t>domicilio</w:t>
      </w:r>
      <w:r w:rsidRPr="009214F6">
        <w:rPr>
          <w:rFonts w:ascii="Verdana" w:hAnsi="Verdana"/>
          <w:sz w:val="22"/>
          <w:szCs w:val="22"/>
        </w:rPr>
        <w:t>, esto al relacionarlos con la habitualidad y la creación</w:t>
      </w:r>
    </w:p>
    <w:p w:rsidR="009214F6" w:rsidP="009214F6" w:rsidRDefault="009214F6" w14:paraId="0E887515" w14:textId="26AF3D79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por parte de las personas de arraigo en el tiempo y en el espacio en un lugar; así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mismo, se considera que salvaguardó el concepto general de residencia,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asociado a la residencia simple de hacer presencia en un lugar sin el ánimo de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establecerse.</w:t>
      </w:r>
    </w:p>
    <w:p w:rsidRPr="009214F6" w:rsidR="009214F6" w:rsidP="009214F6" w:rsidRDefault="009214F6" w14:paraId="4C3292A0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9214F6" w:rsidR="009214F6" w:rsidP="009214F6" w:rsidRDefault="009214F6" w14:paraId="2CE25A32" w14:textId="27E7417B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Por tanto, del inciso sexto del artículo 110 de la Ley 1098 de 2006 es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proporcional y razonable considerar que el Legislador optó por el término más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básico de relacionamiento entre personas y lugares o territorios: la mera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residencia o la residencia simple. Cuando el Legislador y la propia norma se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refieren a la residencia debe considerarse que ella es la mera residencia 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presencia en un lugar, no se está hablando del domicilio, lo cual es armónico con</w:t>
      </w:r>
    </w:p>
    <w:p w:rsidR="009214F6" w:rsidP="009214F6" w:rsidRDefault="009214F6" w14:paraId="0B82A5EB" w14:textId="582E93F9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el régimen general del permiso por protección temporal (PPT), el cual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precisamente asume un carácter temporal propio de la residencia y no de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estabilidad, propio del domicilio.</w:t>
      </w:r>
    </w:p>
    <w:p w:rsidRPr="009214F6" w:rsidR="009214F6" w:rsidP="009214F6" w:rsidRDefault="009214F6" w14:paraId="3A21A83B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7D194010" w14:textId="1FBCE2FF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lastRenderedPageBreak/>
        <w:t>Lo anterior, con un claro respaldo constitucional en el artículo 44 y en garantía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del interés superior de los niños, niñas y adolescentes, porque implementar el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procedimiento de permiso de salida del país permite garantizar que todas las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personas menores de edad que no cuenten con sus padres o representantes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legales y no posean el interés de retornar al lugar donde está su residencia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habitual o domicilio, se les vean respetados sus derechos al salir a un destino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garante de sus derechos.</w:t>
      </w:r>
    </w:p>
    <w:p w:rsidRPr="009214F6" w:rsidR="009214F6" w:rsidP="009214F6" w:rsidRDefault="009214F6" w14:paraId="09F4A15F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4EA1D6BE" w14:textId="59DF39A2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En ese sentido, el trámite de permiso de salida no es solo aplicable a quienes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demuestran vocación de permanencia, toda vez que el Legislador no definió su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procedencia para dicho tipo de vocación, ni para conceptos similares como lo son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el domicilio o la residencia habitual, sino que dejó establecido el procedimiento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para todo aquel niño, niña y adolescente que no tenga a sus padres 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 xml:space="preserve">representantes legales para otorgar el permiso y </w:t>
      </w:r>
      <w:r w:rsidRPr="009214F6">
        <w:rPr>
          <w:rFonts w:ascii="Verdana" w:hAnsi="Verdana"/>
          <w:b/>
          <w:bCs/>
          <w:sz w:val="22"/>
          <w:szCs w:val="22"/>
        </w:rPr>
        <w:t xml:space="preserve">resida </w:t>
      </w:r>
      <w:r w:rsidRPr="009214F6">
        <w:rPr>
          <w:rFonts w:ascii="Verdana" w:hAnsi="Verdana"/>
          <w:sz w:val="22"/>
          <w:szCs w:val="22"/>
        </w:rPr>
        <w:t>en Colombia.</w:t>
      </w:r>
    </w:p>
    <w:p w:rsidRPr="009214F6" w:rsidR="009214F6" w:rsidP="009214F6" w:rsidRDefault="009214F6" w14:paraId="607A5BEE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9214F6" w:rsidR="009214F6" w:rsidP="009214F6" w:rsidRDefault="009214F6" w14:paraId="0823AB3E" w14:textId="76F48EA5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Y en todo caso, si se considerara que el artículo 110 de la Ley 1098 de 2006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procede solo en casos de residencia con vocación de permanencia, lo cierto es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que el parágrafo tercero del artículo cuarto de la Ley 2332 de 2023 otorgó a los</w:t>
      </w:r>
    </w:p>
    <w:p w:rsidR="009214F6" w:rsidP="009214F6" w:rsidRDefault="009214F6" w14:paraId="147F1790" w14:textId="6434529E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mecanismos temporales de regularización migratoria la presunción del ánimo de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permanencia; lo cual, si bien aplica en procedimientos de nacionalidad, también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implica que es extensible a los demás trámites migratorios, dado que la ley que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contempla la presunción no prohibió dicha extensión, y además esto se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encuentra vinculado a la prueba del domicilio, uno de los atributos de la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personalidad, que se traduce en un derecho fundamental.</w:t>
      </w:r>
    </w:p>
    <w:p w:rsidR="009214F6" w:rsidP="009214F6" w:rsidRDefault="009214F6" w14:paraId="6244FD53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6E022EB3" w14:textId="53BF2DA8">
      <w:pPr>
        <w:pStyle w:val="Sinespaciado"/>
        <w:numPr>
          <w:ilvl w:val="0"/>
          <w:numId w:val="1"/>
        </w:numPr>
        <w:jc w:val="both"/>
        <w:rPr>
          <w:rFonts w:ascii="Verdana" w:hAnsi="Verdana"/>
          <w:b/>
          <w:bCs/>
          <w:sz w:val="22"/>
          <w:szCs w:val="22"/>
        </w:rPr>
      </w:pPr>
      <w:r w:rsidRPr="009214F6">
        <w:rPr>
          <w:rFonts w:ascii="Verdana" w:hAnsi="Verdana"/>
          <w:b/>
          <w:bCs/>
          <w:sz w:val="22"/>
          <w:szCs w:val="22"/>
        </w:rPr>
        <w:t>CONCLUSIONES</w:t>
      </w:r>
    </w:p>
    <w:p w:rsidRPr="009214F6" w:rsidR="009214F6" w:rsidP="009214F6" w:rsidRDefault="009214F6" w14:paraId="646D64C1" w14:textId="77777777">
      <w:pPr>
        <w:pStyle w:val="Sinespaciado"/>
        <w:ind w:left="720"/>
        <w:jc w:val="both"/>
        <w:rPr>
          <w:rFonts w:ascii="Verdana" w:hAnsi="Verdana"/>
          <w:b/>
          <w:bCs/>
          <w:sz w:val="22"/>
          <w:szCs w:val="22"/>
        </w:rPr>
      </w:pPr>
    </w:p>
    <w:p w:rsidR="009214F6" w:rsidP="009214F6" w:rsidRDefault="009214F6" w14:paraId="64C67825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Teniendo en cuenta las consideraciones expuestas, esta Oficina pasa a concluir:</w:t>
      </w:r>
    </w:p>
    <w:p w:rsidRPr="009214F6" w:rsidR="009214F6" w:rsidP="009214F6" w:rsidRDefault="009214F6" w14:paraId="186BDAB3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308D94F0" w14:textId="76FCAC2F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b/>
          <w:bCs/>
          <w:sz w:val="22"/>
          <w:szCs w:val="22"/>
        </w:rPr>
        <w:t xml:space="preserve">Primera. </w:t>
      </w:r>
      <w:r w:rsidRPr="009214F6">
        <w:rPr>
          <w:rFonts w:ascii="Verdana" w:hAnsi="Verdana"/>
          <w:sz w:val="22"/>
          <w:szCs w:val="22"/>
        </w:rPr>
        <w:t>El artículo 110 de la Ley 1098 de 2006, particularmente su inciso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6, es aplicable a los niños, niñas y adolescentes con permiso por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protección temporal (PPT) y sin padres o representantes legales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autorizados para emitir el permiso de salida del país.</w:t>
      </w:r>
    </w:p>
    <w:p w:rsidRPr="009214F6" w:rsidR="009214F6" w:rsidP="009214F6" w:rsidRDefault="009214F6" w14:paraId="355AEC3C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61EE27E3" w14:textId="5C17DDCE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b/>
          <w:bCs/>
          <w:sz w:val="22"/>
          <w:szCs w:val="22"/>
        </w:rPr>
        <w:t xml:space="preserve">Segunda. </w:t>
      </w:r>
      <w:r w:rsidRPr="009214F6">
        <w:rPr>
          <w:rFonts w:ascii="Verdana" w:hAnsi="Verdana"/>
          <w:sz w:val="22"/>
          <w:szCs w:val="22"/>
        </w:rPr>
        <w:t>El artículo 110 de la Ley 1098 de 2006 no definió la residencia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habitual, residencia con vocación de permanencia o el domicilio como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condición habilitante al procedimiento del permiso de salida del país en los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casos de niños, niñas y adolescentes sin padres o representantes legales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para darlo.</w:t>
      </w:r>
    </w:p>
    <w:p w:rsidRPr="009214F6" w:rsidR="009214F6" w:rsidP="009214F6" w:rsidRDefault="009214F6" w14:paraId="466C44F6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293A73BC" w14:textId="68C6B823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b/>
          <w:bCs/>
          <w:sz w:val="22"/>
          <w:szCs w:val="22"/>
        </w:rPr>
        <w:t xml:space="preserve">Tercera. </w:t>
      </w:r>
      <w:r w:rsidRPr="009214F6">
        <w:rPr>
          <w:rFonts w:ascii="Verdana" w:hAnsi="Verdana"/>
          <w:sz w:val="22"/>
          <w:szCs w:val="22"/>
        </w:rPr>
        <w:t>El inciso sexto del artículo 110 de la Ley 1098 de 2006 optó por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el criterio de residencia como habilitante del procedimiento de salida del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país en los casos de niños, niñas y adolescentes sin padres 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representantes legales para darlo, el cual es coincidente con la simple 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mera residencia de las personas cuando habitan un espacio sin el ánimo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de permanencia.</w:t>
      </w:r>
    </w:p>
    <w:p w:rsidRPr="009214F6" w:rsidR="009214F6" w:rsidP="009214F6" w:rsidRDefault="009214F6" w14:paraId="642E71B8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27A18665" w14:textId="66A54997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b/>
          <w:bCs/>
          <w:sz w:val="22"/>
          <w:szCs w:val="22"/>
        </w:rPr>
        <w:t xml:space="preserve">Cuarta. </w:t>
      </w:r>
      <w:r w:rsidRPr="009214F6">
        <w:rPr>
          <w:rFonts w:ascii="Verdana" w:hAnsi="Verdana"/>
          <w:sz w:val="22"/>
          <w:szCs w:val="22"/>
        </w:rPr>
        <w:t>La intervención de las autoridades administrativas al implementar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el trámite de permiso de salida del país en los casos de niños, niñas y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adolescentes sin padres o representantes legales para darlo, con PPT o sin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 xml:space="preserve">el mismo, respeta </w:t>
      </w:r>
      <w:r w:rsidRPr="009214F6">
        <w:rPr>
          <w:rFonts w:ascii="Verdana" w:hAnsi="Verdana"/>
          <w:sz w:val="22"/>
          <w:szCs w:val="22"/>
        </w:rPr>
        <w:lastRenderedPageBreak/>
        <w:t>la garantía superior del artículo 44 constitucional,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considerando la situación especial en que estas personas se encuentran al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no poseer a alguien que defienda sus derechos y se garantice una salida a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un destino extranjero donde estén respetados sus derechos.</w:t>
      </w:r>
    </w:p>
    <w:p w:rsidRPr="009214F6" w:rsidR="009214F6" w:rsidP="009214F6" w:rsidRDefault="009214F6" w14:paraId="55588D37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9214F6" w:rsidR="009214F6" w:rsidP="009214F6" w:rsidRDefault="009214F6" w14:paraId="65383FE9" w14:textId="00996F1C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La presente respuesta tiene naturaleza de concepto jurídico y constituye un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criterio auxiliar de interpretación de conformidad con lo establecido en los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artículos 26 del Código Civil y 28 de la Ley 1437 de 2011, sustituido por el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artículo 1 de la Ley 1755 de 2015. No obstante, lo anterior, tiene carácter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vinculante para las dependencias internas del Instituto y terceros que colaboren</w:t>
      </w:r>
    </w:p>
    <w:p w:rsidR="009214F6" w:rsidP="009214F6" w:rsidRDefault="009214F6" w14:paraId="12FA5499" w14:textId="3F1FA97D">
      <w:pPr>
        <w:pStyle w:val="Sinespaciado"/>
        <w:jc w:val="both"/>
        <w:rPr>
          <w:rFonts w:ascii="Verdana" w:hAnsi="Verdana"/>
          <w:sz w:val="22"/>
          <w:szCs w:val="22"/>
        </w:rPr>
      </w:pPr>
      <w:r w:rsidRPr="009214F6">
        <w:rPr>
          <w:rFonts w:ascii="Verdana" w:hAnsi="Verdana"/>
          <w:sz w:val="22"/>
          <w:szCs w:val="22"/>
        </w:rPr>
        <w:t>en la prestación del servicio público o en el desarrollo de la función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administrativa de competencia del ICBF, en virtud de la función asignada a la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Oficina Asesora Jurídica de mantener la unidad doctrinaria e impartir las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directrices jurídicas necesarias para el desarrollo de las funciones del Instituto</w:t>
      </w:r>
      <w:r>
        <w:rPr>
          <w:rFonts w:ascii="Verdana" w:hAnsi="Verdana"/>
          <w:sz w:val="22"/>
          <w:szCs w:val="22"/>
        </w:rPr>
        <w:t xml:space="preserve"> </w:t>
      </w:r>
      <w:r w:rsidRPr="009214F6">
        <w:rPr>
          <w:rFonts w:ascii="Verdana" w:hAnsi="Verdana"/>
          <w:sz w:val="22"/>
          <w:szCs w:val="22"/>
        </w:rPr>
        <w:t>(numerales 4, 8, 15 y 20 del artículo 6 del Decreto 987 de 2012).</w:t>
      </w:r>
    </w:p>
    <w:p w:rsidR="009214F6" w:rsidP="009214F6" w:rsidRDefault="009214F6" w14:paraId="2B51464E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51C18D02" w14:textId="092ED203">
      <w:pPr>
        <w:pStyle w:val="Sinespaciad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Cordialmente,</w:t>
      </w:r>
    </w:p>
    <w:p w:rsidR="009214F6" w:rsidP="009214F6" w:rsidRDefault="009214F6" w14:paraId="57A2191D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9214F6" w:rsidP="009214F6" w:rsidRDefault="009214F6" w14:paraId="213E8B81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9214F6" w:rsidR="003E6683" w:rsidP="009214F6" w:rsidRDefault="009214F6" w14:paraId="5FC21474" w14:textId="61797EB4">
      <w:pPr>
        <w:pStyle w:val="Sinespaciado"/>
        <w:jc w:val="center"/>
        <w:rPr>
          <w:rFonts w:ascii="Verdana" w:hAnsi="Verdana"/>
          <w:b/>
          <w:bCs/>
          <w:sz w:val="22"/>
          <w:szCs w:val="22"/>
        </w:rPr>
      </w:pPr>
      <w:r w:rsidRPr="009214F6">
        <w:rPr>
          <w:rFonts w:ascii="Verdana" w:hAnsi="Verdana"/>
          <w:b/>
          <w:bCs/>
          <w:sz w:val="22"/>
          <w:szCs w:val="22"/>
        </w:rPr>
        <w:t>LEONARDO ALFONSO PEREZ MEDINA</w:t>
      </w:r>
    </w:p>
    <w:p w:rsidR="009214F6" w:rsidP="009214F6" w:rsidRDefault="009214F6" w14:paraId="236DC2E0" w14:textId="500CB922">
      <w:pPr>
        <w:pStyle w:val="Sinespaciad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Jefe Oficina Asesora Jurídica (E)</w:t>
      </w:r>
    </w:p>
    <w:p w:rsidR="003E6683" w:rsidP="003E6683" w:rsidRDefault="003E6683" w14:paraId="59F8251C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3E6683" w:rsidP="003E6683" w:rsidRDefault="003E6683" w14:paraId="692439A8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3E6683" w:rsidP="003E6683" w:rsidRDefault="003E6683" w14:paraId="52B826A9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3E6683" w:rsidR="003E6683" w:rsidP="003E6683" w:rsidRDefault="003E6683" w14:paraId="640C558B" w14:textId="166607CB">
      <w:pPr>
        <w:pStyle w:val="Sinespaciado"/>
        <w:jc w:val="both"/>
        <w:rPr>
          <w:rFonts w:ascii="Verdana" w:hAnsi="Verdana"/>
          <w:b/>
          <w:bCs/>
          <w:sz w:val="22"/>
          <w:szCs w:val="22"/>
        </w:rPr>
      </w:pPr>
      <w:r w:rsidRPr="003E6683">
        <w:rPr>
          <w:rFonts w:ascii="Verdana" w:hAnsi="Verdana"/>
          <w:b/>
          <w:bCs/>
          <w:sz w:val="22"/>
          <w:szCs w:val="22"/>
        </w:rPr>
        <w:t>Notas pie de página:</w:t>
      </w:r>
    </w:p>
    <w:p w:rsidR="003E6683" w:rsidP="003E6683" w:rsidRDefault="003E6683" w14:paraId="01A329C4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="003E6683" w:rsidP="003E6683" w:rsidRDefault="003E6683" w14:paraId="0A4584E0" w14:textId="77777777">
      <w:pPr>
        <w:pStyle w:val="Sinespaciado"/>
        <w:jc w:val="both"/>
        <w:rPr>
          <w:rFonts w:ascii="Verdana" w:hAnsi="Verdana"/>
          <w:sz w:val="22"/>
          <w:szCs w:val="22"/>
        </w:rPr>
      </w:pPr>
    </w:p>
    <w:p w:rsidRPr="003E6683" w:rsidR="003E6683" w:rsidP="003E6683" w:rsidRDefault="003E6683" w14:paraId="286A50C6" w14:textId="77777777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 xml:space="preserve">1 </w:t>
      </w:r>
      <w:proofErr w:type="gramStart"/>
      <w:r w:rsidRPr="003E6683">
        <w:rPr>
          <w:rFonts w:ascii="Verdana" w:hAnsi="Verdana"/>
          <w:sz w:val="22"/>
          <w:szCs w:val="22"/>
        </w:rPr>
        <w:t>Articulo</w:t>
      </w:r>
      <w:proofErr w:type="gramEnd"/>
      <w:r w:rsidRPr="003E6683">
        <w:rPr>
          <w:rFonts w:ascii="Verdana" w:hAnsi="Verdana"/>
          <w:sz w:val="22"/>
          <w:szCs w:val="22"/>
        </w:rPr>
        <w:t xml:space="preserve"> 1, Ley 1098 de 2006</w:t>
      </w:r>
    </w:p>
    <w:p w:rsidR="003E6683" w:rsidP="003E6683" w:rsidRDefault="003E6683" w14:paraId="382E1418" w14:textId="11A990C0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 xml:space="preserve">2 </w:t>
      </w:r>
      <w:proofErr w:type="gramStart"/>
      <w:r w:rsidRPr="003E6683">
        <w:rPr>
          <w:rFonts w:ascii="Verdana" w:hAnsi="Verdana"/>
          <w:sz w:val="22"/>
          <w:szCs w:val="22"/>
        </w:rPr>
        <w:t>Artículo</w:t>
      </w:r>
      <w:proofErr w:type="gramEnd"/>
      <w:r w:rsidRPr="003E6683">
        <w:rPr>
          <w:rFonts w:ascii="Verdana" w:hAnsi="Verdana"/>
          <w:sz w:val="22"/>
          <w:szCs w:val="22"/>
        </w:rPr>
        <w:t xml:space="preserve"> 4, Ley 1098 de 2006</w:t>
      </w:r>
    </w:p>
    <w:p w:rsidRPr="003E6683" w:rsidR="003E6683" w:rsidP="003E6683" w:rsidRDefault="003E6683" w14:paraId="29B0F6FE" w14:textId="3EE69933">
      <w:pPr>
        <w:pStyle w:val="Sinespaciado"/>
        <w:jc w:val="both"/>
        <w:rPr>
          <w:rFonts w:ascii="Verdana" w:hAnsi="Verdana"/>
          <w:sz w:val="22"/>
          <w:szCs w:val="22"/>
        </w:rPr>
      </w:pPr>
      <w:r w:rsidRPr="003E6683">
        <w:rPr>
          <w:rFonts w:ascii="Verdana" w:hAnsi="Verdana"/>
          <w:sz w:val="22"/>
          <w:szCs w:val="22"/>
        </w:rPr>
        <w:t>3 1. Encontrarse en territorio colombiano de manera regular como titulares de un Permiso de Ingreso y Permanencia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(PIP), Permiso Temporal de Permanencia (PTP) o de un Permiso Especial de Permanencia (PEP) vigente, cualquiera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sea su fase de expedición incluido el PEPFF. 2. Encontrarse en territorio colombiano de manera regular como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titulares de un Salvoconducto de Permanencia SC-2 en el marco del trámite de una solicitud de reconocimiento de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la condición de refugiado. 3. Encontrarse en territorio colombiano de manera irregular a 31 de enero de 2021. 4.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Ingresar a territorio colombiano de manera regular a través del respectivo Puesto de Control Migratorio legalmente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habilitado, cumpliendo con los requisitos establecidos en las normas migratorias, durante los primeros dos (2) años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de vigencia del Estatuto, es decir, desde el 29 de mayo de 2021 hasta el 28 de mayo de 2023. No obstante, esta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condición estará sujeta a lo establecido por el Ministerio de Salud, en relación con la declaratoria de la Emergencia</w:t>
      </w:r>
      <w:r>
        <w:rPr>
          <w:rFonts w:ascii="Verdana" w:hAnsi="Verdana"/>
          <w:sz w:val="22"/>
          <w:szCs w:val="22"/>
        </w:rPr>
        <w:t xml:space="preserve"> </w:t>
      </w:r>
      <w:r w:rsidRPr="003E6683">
        <w:rPr>
          <w:rFonts w:ascii="Verdana" w:hAnsi="Verdana"/>
          <w:sz w:val="22"/>
          <w:szCs w:val="22"/>
        </w:rPr>
        <w:t>Sanitaria</w:t>
      </w:r>
    </w:p>
    <w:sectPr w:rsidRPr="003E6683" w:rsidR="003E6683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18B"/>
    <w:multiLevelType w:val="hybridMultilevel"/>
    <w:tmpl w:val="ACBC4A6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19736E"/>
    <w:multiLevelType w:val="multilevel"/>
    <w:tmpl w:val="1E3A2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4660230B"/>
    <w:multiLevelType w:val="hybridMultilevel"/>
    <w:tmpl w:val="B316077A"/>
    <w:lvl w:ilvl="0" w:tplc="DE120748">
      <w:numFmt w:val="bullet"/>
      <w:lvlText w:val=""/>
      <w:lvlJc w:val="left"/>
      <w:pPr>
        <w:ind w:left="720" w:hanging="360"/>
      </w:pPr>
      <w:rPr>
        <w:rFonts w:hint="eastAsia" w:ascii="MS Mincho" w:hAnsi="MS Mincho" w:eastAsia="MS Mincho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6379E8"/>
    <w:multiLevelType w:val="hybridMultilevel"/>
    <w:tmpl w:val="223EEEDA"/>
    <w:lvl w:ilvl="0" w:tplc="DE120748">
      <w:numFmt w:val="bullet"/>
      <w:lvlText w:val=""/>
      <w:lvlJc w:val="left"/>
      <w:pPr>
        <w:ind w:left="720" w:hanging="360"/>
      </w:pPr>
      <w:rPr>
        <w:rFonts w:hint="eastAsia" w:ascii="MS Mincho" w:hAnsi="MS Mincho" w:eastAsia="MS Mincho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83F0346"/>
    <w:multiLevelType w:val="hybridMultilevel"/>
    <w:tmpl w:val="A55EAA0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3645032">
    <w:abstractNumId w:val="1"/>
  </w:num>
  <w:num w:numId="2" w16cid:durableId="1421565554">
    <w:abstractNumId w:val="0"/>
  </w:num>
  <w:num w:numId="3" w16cid:durableId="564222704">
    <w:abstractNumId w:val="2"/>
  </w:num>
  <w:num w:numId="4" w16cid:durableId="930167326">
    <w:abstractNumId w:val="3"/>
  </w:num>
  <w:num w:numId="5" w16cid:durableId="1275283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83"/>
    <w:rsid w:val="000730AE"/>
    <w:rsid w:val="002C7565"/>
    <w:rsid w:val="003E6683"/>
    <w:rsid w:val="003F1898"/>
    <w:rsid w:val="00662542"/>
    <w:rsid w:val="009214F6"/>
    <w:rsid w:val="167A11AF"/>
    <w:rsid w:val="5323C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9770"/>
  <w15:chartTrackingRefBased/>
  <w15:docId w15:val="{4CCBB44D-28AB-49CB-AA32-66395296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668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668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6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6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6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6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6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6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6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E668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E668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E668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E668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E668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E668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E668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E668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E6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668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E66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6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E6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6683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E66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66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66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66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E66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668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3E66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66F139-917A-4327-8B89-AA7EEA0E4650}"/>
</file>

<file path=customXml/itemProps2.xml><?xml version="1.0" encoding="utf-8"?>
<ds:datastoreItem xmlns:ds="http://schemas.openxmlformats.org/officeDocument/2006/customXml" ds:itemID="{31AF2016-BB54-450D-974C-F7B4B5C82D7B}"/>
</file>

<file path=customXml/itemProps3.xml><?xml version="1.0" encoding="utf-8"?>
<ds:datastoreItem xmlns:ds="http://schemas.openxmlformats.org/officeDocument/2006/customXml" ds:itemID="{15E1A5AC-ECCF-414F-AD8D-84EF1D3846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2026-04-16T18:40:00Z</dcterms:created>
  <dcterms:modified xsi:type="dcterms:W3CDTF">2026-05-05T16:07:29Z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