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C2A2" w14:textId="77777777" w:rsidR="001C2CA3" w:rsidRPr="00F04905" w:rsidRDefault="00000000">
      <w:pPr>
        <w:spacing w:after="280" w:line="426" w:lineRule="auto"/>
        <w:jc w:val="center"/>
        <w:rPr>
          <w:rFonts w:ascii="Verdana" w:eastAsia="Verdana" w:hAnsi="Verdana" w:cs="Verdana"/>
          <w:b/>
          <w:bCs/>
        </w:rPr>
      </w:pPr>
      <w:r w:rsidRPr="00F04905">
        <w:rPr>
          <w:rFonts w:ascii="Verdana" w:eastAsia="Verdana" w:hAnsi="Verdana" w:cs="Verdana"/>
          <w:b/>
          <w:bCs/>
        </w:rPr>
        <w:t>CONCEPTO 8 DE 2019</w:t>
      </w:r>
    </w:p>
    <w:p w14:paraId="4048BA63" w14:textId="77777777" w:rsidR="001C2CA3" w:rsidRPr="00F04905" w:rsidRDefault="00000000">
      <w:pPr>
        <w:spacing w:after="280" w:line="426" w:lineRule="auto"/>
        <w:jc w:val="center"/>
        <w:rPr>
          <w:rFonts w:ascii="Verdana" w:eastAsia="Verdana" w:hAnsi="Verdana" w:cs="Verdana"/>
        </w:rPr>
      </w:pPr>
      <w:r w:rsidRPr="00F04905">
        <w:rPr>
          <w:rFonts w:ascii="Verdana" w:eastAsia="Verdana" w:hAnsi="Verdana" w:cs="Verdana"/>
        </w:rPr>
        <w:t>(enero 29)</w:t>
      </w:r>
    </w:p>
    <w:p w14:paraId="41233345" w14:textId="77777777" w:rsidR="001C2CA3" w:rsidRPr="00F04905" w:rsidRDefault="00000000">
      <w:pPr>
        <w:spacing w:after="280" w:line="426" w:lineRule="auto"/>
        <w:jc w:val="center"/>
        <w:rPr>
          <w:rFonts w:ascii="Verdana" w:eastAsia="Verdana" w:hAnsi="Verdana" w:cs="Verdana"/>
          <w:b/>
          <w:bCs/>
        </w:rPr>
      </w:pPr>
      <w:r w:rsidRPr="00F04905">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1C2CA3" w:rsidRPr="00F04905" w14:paraId="1CE2F198" w14:textId="77777777">
        <w:trPr>
          <w:trHeight w:val="990"/>
        </w:trPr>
        <w:tc>
          <w:tcPr>
            <w:tcW w:w="1140" w:type="dxa"/>
            <w:tcBorders>
              <w:top w:val="nil"/>
              <w:left w:val="nil"/>
              <w:bottom w:val="nil"/>
              <w:right w:val="nil"/>
            </w:tcBorders>
            <w:tcMar>
              <w:top w:w="0" w:type="dxa"/>
              <w:left w:w="0" w:type="dxa"/>
              <w:bottom w:w="0" w:type="dxa"/>
              <w:right w:w="0" w:type="dxa"/>
            </w:tcMar>
          </w:tcPr>
          <w:p w14:paraId="281EDEC2" w14:textId="77777777" w:rsidR="001C2CA3" w:rsidRPr="00F04905" w:rsidRDefault="00000000">
            <w:pPr>
              <w:spacing w:after="160" w:line="426" w:lineRule="auto"/>
              <w:jc w:val="both"/>
              <w:rPr>
                <w:rFonts w:ascii="Verdana" w:eastAsia="Verdana" w:hAnsi="Verdana" w:cs="Verdana"/>
                <w:b/>
                <w:bCs/>
              </w:rPr>
            </w:pPr>
            <w:r w:rsidRPr="00F04905">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4354879A" w14:textId="62990A79" w:rsidR="001C2CA3" w:rsidRPr="00F04905" w:rsidRDefault="00F04905">
            <w:pPr>
              <w:spacing w:after="160" w:line="426" w:lineRule="auto"/>
              <w:jc w:val="both"/>
              <w:rPr>
                <w:rFonts w:ascii="Verdana" w:eastAsia="Verdana" w:hAnsi="Verdana" w:cs="Verdana"/>
                <w:b/>
                <w:bCs/>
              </w:rPr>
            </w:pPr>
            <w:r w:rsidRPr="00F04905">
              <w:rPr>
                <w:rFonts w:ascii="Verdana" w:eastAsia="Verdana" w:hAnsi="Verdana" w:cs="Verdana"/>
                <w:b/>
                <w:bCs/>
              </w:rPr>
              <w:t xml:space="preserve"> </w:t>
            </w:r>
            <w:r w:rsidR="00000000" w:rsidRPr="00F04905">
              <w:rPr>
                <w:rFonts w:ascii="Verdana" w:eastAsia="Verdana" w:hAnsi="Verdana" w:cs="Verdana"/>
                <w:b/>
                <w:bCs/>
              </w:rPr>
              <w:t>CONCEPTO RÉGIMEN DE INHABILIDADES E INCOMPATIBILIDADES DE LOS DIRECTORES REGIONALES DEL ICBF</w:t>
            </w:r>
          </w:p>
        </w:tc>
      </w:tr>
    </w:tbl>
    <w:p w14:paraId="495B151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De manera atenta y en el marco de nuestras competencias, esta Oficina, Asesora Jurídica emite concepto sobre el Régimen de Inhabilidades e Incompatibilidades aplicable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w:t>
      </w:r>
    </w:p>
    <w:p w14:paraId="46459230" w14:textId="5154D80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Así, previo análisis del ordenamiento jurídico vigente y con fundamento en los artículos 23 de la Constitución Política, 26 del C.C., 13 del C.P.A.C.A sustituido por el artículo 1</w:t>
      </w:r>
      <w:r w:rsidRPr="00F04905">
        <w:rPr>
          <w:rFonts w:ascii="Verdana" w:eastAsia="Verdana" w:hAnsi="Verdana" w:cs="Verdana"/>
          <w:vertAlign w:val="superscript"/>
        </w:rPr>
        <w:t>o</w:t>
      </w:r>
      <w:r w:rsidRPr="00F04905">
        <w:rPr>
          <w:rFonts w:ascii="Verdana" w:eastAsia="Verdana" w:hAnsi="Verdana" w:cs="Verdana"/>
        </w:rPr>
        <w:t xml:space="preserve"> de la Ley 1755 de 2015, y el numeral 4o del artículo 6o del Decreto 987 de 2012, esta Oficina da respuesta en los siguientes términos.</w:t>
      </w:r>
    </w:p>
    <w:p w14:paraId="76060C0F"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1. PROBLEMAS JURÍDICOS</w:t>
      </w:r>
    </w:p>
    <w:p w14:paraId="6109865F" w14:textId="0E6C6742"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¿Les es aplicable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 el régimen disciplinario que consagra el artículo 79 de la Ley 489 de 1998 para los miembros de los consejos directivos y el director de los establecimientos públicos, así como el régimen de inhabilidades de los congresistas establecido en el artículo 179 de la Constitución Política?</w:t>
      </w:r>
    </w:p>
    <w:p w14:paraId="4574CC25" w14:textId="5213BBB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¿Resulta constitucionalmente admisible que un decreto reglamentario como el 334 de 1980 (preconstitucional), en su artículo 39 consagre, con alcance extensivo, que a los Directores regionales del ICBF se les aplique el mismo régimen de inhabilidades, prohibiciones e incompatibilidades que cobijan o comprenden a los miembros de la Junta Directiva y al Director General del ICBF, con lo cual también </w:t>
      </w:r>
      <w:r w:rsidRPr="00F04905">
        <w:rPr>
          <w:rFonts w:ascii="Verdana" w:eastAsia="Verdana" w:hAnsi="Verdana" w:cs="Verdana"/>
        </w:rPr>
        <w:lastRenderedPageBreak/>
        <w:t>les son aplicables las inhabilidades fijadas para los congresistas en la Constitución Política de 1991?</w:t>
      </w:r>
    </w:p>
    <w:p w14:paraId="2CC874EB"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 ANÁLISIS DE LOS PROBLEMAS JURÍDICOS</w:t>
      </w:r>
    </w:p>
    <w:p w14:paraId="213A2E2B" w14:textId="278B107E"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Para el estudio del objeto de la consulta, es preciso analizar los siguientes temas: (I) Régimen de inhabilidades e incompatibilidades para ejercer cargos públicos en Colombia; (</w:t>
      </w:r>
      <w:proofErr w:type="spellStart"/>
      <w:r w:rsidRPr="00F04905">
        <w:rPr>
          <w:rFonts w:ascii="Verdana" w:eastAsia="Verdana" w:hAnsi="Verdana" w:cs="Verdana"/>
        </w:rPr>
        <w:t>ii</w:t>
      </w:r>
      <w:proofErr w:type="spellEnd"/>
      <w:r w:rsidRPr="00F04905">
        <w:rPr>
          <w:rFonts w:ascii="Verdana" w:eastAsia="Verdana" w:hAnsi="Verdana" w:cs="Verdana"/>
        </w:rPr>
        <w:t>) Alcance e interpretación del artículo 79 de la Ley 489 de 1998; (</w:t>
      </w:r>
      <w:proofErr w:type="spellStart"/>
      <w:r w:rsidRPr="00F04905">
        <w:rPr>
          <w:rFonts w:ascii="Verdana" w:eastAsia="Verdana" w:hAnsi="Verdana" w:cs="Verdana"/>
        </w:rPr>
        <w:t>iii</w:t>
      </w:r>
      <w:proofErr w:type="spellEnd"/>
      <w:r w:rsidRPr="00F04905">
        <w:rPr>
          <w:rFonts w:ascii="Verdana" w:eastAsia="Verdana" w:hAnsi="Verdana" w:cs="Verdana"/>
        </w:rPr>
        <w:t>) Inaplicación del artículo 39 del Decreto 334 de 1980 - Estatutos del ICBF- a la luz del nuevo ordenamiento constitucional; (</w:t>
      </w:r>
      <w:proofErr w:type="spellStart"/>
      <w:r w:rsidRPr="00F04905">
        <w:rPr>
          <w:rFonts w:ascii="Verdana" w:eastAsia="Verdana" w:hAnsi="Verdana" w:cs="Verdana"/>
        </w:rPr>
        <w:t>iv</w:t>
      </w:r>
      <w:proofErr w:type="spellEnd"/>
      <w:r w:rsidRPr="00F04905">
        <w:rPr>
          <w:rFonts w:ascii="Verdana" w:eastAsia="Verdana" w:hAnsi="Verdana" w:cs="Verdana"/>
        </w:rPr>
        <w:t>) Alcance del artículo 39 del Decreto 334 de 1980 - Estatutos del ICBF- frente a la Ley 75 de 1968; (V) Régimen de Inhabilidades e Incompatibilidades de los Directores Regionales del Instituto Colombiano de Bienestar Familiar; e</w:t>
      </w:r>
      <w:r w:rsidRPr="00F04905">
        <w:rPr>
          <w:rFonts w:ascii="Verdana" w:eastAsia="Verdana" w:hAnsi="Verdana" w:cs="Verdana"/>
          <w:vertAlign w:val="subscript"/>
        </w:rPr>
        <w:t>t</w:t>
      </w:r>
      <w:r w:rsidRPr="00F04905">
        <w:rPr>
          <w:rFonts w:ascii="Verdana" w:eastAsia="Verdana" w:hAnsi="Verdana" w:cs="Verdana"/>
        </w:rPr>
        <w:t xml:space="preserve"> (</w:t>
      </w:r>
      <w:proofErr w:type="spellStart"/>
      <w:r w:rsidRPr="00F04905">
        <w:rPr>
          <w:rFonts w:ascii="Verdana" w:eastAsia="Verdana" w:hAnsi="Verdana" w:cs="Verdana"/>
        </w:rPr>
        <w:t>vii</w:t>
      </w:r>
      <w:proofErr w:type="spellEnd"/>
      <w:r w:rsidRPr="00F04905">
        <w:rPr>
          <w:rFonts w:ascii="Verdana" w:eastAsia="Verdana" w:hAnsi="Verdana" w:cs="Verdana"/>
        </w:rPr>
        <w:t>) Interpretaciones anteriores y fundamento de cambio de postura.</w:t>
      </w:r>
    </w:p>
    <w:p w14:paraId="5009F672"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2.1. MARCO NORMATIVO APLICABLE</w:t>
      </w:r>
    </w:p>
    <w:p w14:paraId="2940508D" w14:textId="6CE44143"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Constitución Política de Colombia; Ley 75 de 1968; Decreto Ley 128 de 1976; Decreto 334 de 1980; Ley 489 de 1998; Ley 734 de 2002 y Decreto 1083 de 2015.</w:t>
      </w:r>
    </w:p>
    <w:p w14:paraId="235F0299"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2.2. ANTECEDENTES</w:t>
      </w:r>
    </w:p>
    <w:p w14:paraId="0EF3651A" w14:textId="327C2AC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Dirección de Gestión Humana, mediante comunicación con Radicado I-2018-128743-0101 del 14 de diciembre de 2018, solicita concepto jurídico sobre si una persona que se encuentra ejerciendo el cargo de director regional en Córdoba de un establecimiento público del orden nacional, está incursa en alguna inhabilidad para aspirar al cargo de Director Regional del ICBF en la misma jurisdicción, especialmente aquellas contempladas en la Constitución Política para Congresistas y la del artículo 79 de la Ley 489 de 1998.</w:t>
      </w:r>
    </w:p>
    <w:p w14:paraId="2A7A4ECB"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 ANÁLISIS JURÍDICO</w:t>
      </w:r>
    </w:p>
    <w:p w14:paraId="312D8C00"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lastRenderedPageBreak/>
        <w:t>2.3.1. Régimen de inhabilidades e Incompatibilidades para ejercer cargos públicos en Colombia</w:t>
      </w:r>
    </w:p>
    <w:p w14:paraId="3B60B610"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2.3.1.1. Definición de inhabilidad</w:t>
      </w:r>
    </w:p>
    <w:p w14:paraId="08356A6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El diccionario de la Real Academia de la Lengua Española definió a la inhabilidad como el "defecto o impedimento para obtener o ejercer un empleo u oficio”.</w:t>
      </w:r>
    </w:p>
    <w:p w14:paraId="043F4B5C" w14:textId="7F29DEDC"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La Corte Suprema de Justicia define a la inhabilidad como “aquella circunstancia negativa del individuo, el defecto o impedimento, para ejercer u obtener un empleo o que le resta mérito para ejercer ciertas funciones en un cargo determinado y se traduce en la prohibición legal para desempeñarlo independientemente de otros”.</w:t>
      </w:r>
      <w:r w:rsidRPr="00F04905">
        <w:rPr>
          <w:rFonts w:ascii="Verdana" w:eastAsia="Verdana" w:hAnsi="Verdana" w:cs="Verdana"/>
          <w:vertAlign w:val="superscript"/>
        </w:rPr>
        <w:t>[1]</w:t>
      </w:r>
    </w:p>
    <w:p w14:paraId="0B3AB169" w14:textId="0DC4A0ED"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Por su parte, la Corte Constitucional define la inhabilidad como “la prohibición de que una persona sea elegida o designada en un cargo público continúe en él o, en general, acceda y ejerza una función pública”.</w:t>
      </w:r>
      <w:r w:rsidRPr="00F04905">
        <w:rPr>
          <w:rFonts w:ascii="Verdana" w:eastAsia="Verdana" w:hAnsi="Verdana" w:cs="Verdana"/>
          <w:vertAlign w:val="superscript"/>
        </w:rPr>
        <w:t>[2]</w:t>
      </w:r>
    </w:p>
    <w:p w14:paraId="65B4CA55" w14:textId="0439D002"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En la misma Sentencia, la Corte señaló que la inhabilidad "es una circunstancia fáctica cuya verificación le impide al individuo en el que concurre acceder a un cargo público. La importancia de las inhabilidades se asocia al hecho de que su consagración persigue que quienes aspiran a acceder a la función pública, para realizar actividades vinculadas a los intereses públicos o sociales de la comunidad, posean ciertas cualidades o condiciones que aseguren la gestión de dichos intereses con arreglo a los criterios de igualdad, eficiencia, moralidad e imparcialidad que informan el buen servicio y antepongan los intereses personales a los generales de la comunidad”.</w:t>
      </w:r>
      <w:r w:rsidRPr="00F04905">
        <w:rPr>
          <w:rFonts w:ascii="Verdana" w:eastAsia="Verdana" w:hAnsi="Verdana" w:cs="Verdana"/>
          <w:vertAlign w:val="superscript"/>
        </w:rPr>
        <w:t>[3]</w:t>
      </w:r>
    </w:p>
    <w:p w14:paraId="63C2F9C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otros pronunciamientos jurisprudenciales de la Corte Constitucional, dicha corporación ha definido a las inhabilidades, así:</w:t>
      </w:r>
    </w:p>
    <w:p w14:paraId="49F4BAB4" w14:textId="175F88C1"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lastRenderedPageBreak/>
        <w:t>"Las inhabilidades, como las demás calidades, exigencias o requisitos que deben reunir los candidatos para efectos de su incorporación al servicio del Estado, en empleos de carrera o de libre nombramiento y remoción, deben estar consagradas en forma expresa y clara, y pueden hacer parte del estatuto general que rige la función pública, o de manera específica del estatuto de carrera, o de personal de cada entidad, sector o rama del poder público”.</w:t>
      </w:r>
      <w:r w:rsidRPr="00F04905">
        <w:rPr>
          <w:rFonts w:ascii="Verdana" w:eastAsia="Verdana" w:hAnsi="Verdana" w:cs="Verdana"/>
          <w:vertAlign w:val="superscript"/>
        </w:rPr>
        <w:t>[4]</w:t>
      </w:r>
    </w:p>
    <w:p w14:paraId="4CAB77D0" w14:textId="1CCCB60A"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“Las Inhabilidades son aquellas circunstancias creadas por la Constitución o la ley que impiden o imposibilitan que una persona sea elegida o designada en un cargo público, y en ciertos casos, impiden el ejercicio del empleo a quienes ya se encuentran vinculados al servicio y tienen como objeto primordial lograr la moralización, idoneidad, probidad e imparcialidad de quienes van a ingresar o ya están desempeñando empleos públicos”.</w:t>
      </w:r>
      <w:r w:rsidRPr="00F04905">
        <w:rPr>
          <w:rFonts w:ascii="Verdana" w:eastAsia="Verdana" w:hAnsi="Verdana" w:cs="Verdana"/>
          <w:vertAlign w:val="superscript"/>
        </w:rPr>
        <w:t>[5]</w:t>
      </w:r>
    </w:p>
    <w:p w14:paraId="69203A08" w14:textId="2B3B3425"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Así las cosas, las inhabilidades son condiciones o situaciones que impiden a una persona natural desempeñar ciertos cargos o ciertas funciones públicas en forma temporal o definitiva, y responden a rezones de conveniencia pública y de ética administrativa relacionadas con condenas a pena privativa de la libertad, sanciones disciplinarias, lazos de parentesco y celebración de contratos con entidades públicas.</w:t>
      </w:r>
      <w:r w:rsidRPr="00F04905">
        <w:rPr>
          <w:rFonts w:ascii="Verdana" w:eastAsia="Verdana" w:hAnsi="Verdana" w:cs="Verdana"/>
          <w:vertAlign w:val="superscript"/>
        </w:rPr>
        <w:t>[6]</w:t>
      </w:r>
    </w:p>
    <w:p w14:paraId="145F2C16"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2.3.1.2. Clases de Inhabilidades</w:t>
      </w:r>
    </w:p>
    <w:p w14:paraId="222B000A"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Existen dos clases de inhabilidades: las que responden a circunstancias de naturaleza personal y las de naturaleza sancionatoria.</w:t>
      </w:r>
    </w:p>
    <w:p w14:paraId="66AD5460" w14:textId="443AB275"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 xml:space="preserve">Las que responden a circunstancias de naturaleza personal, son las inhabilidades que "...se configuran como consecuencia de concurrir en el individuo aspirante a un cargo público, Es el caso de la existencia de parentescos -verificado por ejemplo en el artículo 126 de la Constitución Política- que impiden el ejercicio de cargos públicos simultáneos o la nominación de una persona a un cargo del Estado, por </w:t>
      </w:r>
      <w:r w:rsidRPr="00F04905">
        <w:rPr>
          <w:rFonts w:ascii="Verdana" w:eastAsia="Verdana" w:hAnsi="Verdana" w:cs="Verdana"/>
        </w:rPr>
        <w:lastRenderedPageBreak/>
        <w:t>parte de un servidor público con quien la une un lazo de consanguinidad o afinidad”.</w:t>
      </w:r>
      <w:r w:rsidRPr="00F04905">
        <w:rPr>
          <w:rFonts w:ascii="Verdana" w:eastAsia="Verdana" w:hAnsi="Verdana" w:cs="Verdana"/>
          <w:vertAlign w:val="superscript"/>
        </w:rPr>
        <w:t>[7]</w:t>
      </w:r>
    </w:p>
    <w:p w14:paraId="228AD16D" w14:textId="2AADF174"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En cuanto a las que responden un componente sancionatorio, son aquellas “circunstancias que impiden a los individuos acceder a un determinado cargo se derivan de la reprochabilidad penal, disciplinaria, contravencional, correccional o de punición por indignidad política de su conducta”.</w:t>
      </w:r>
      <w:r w:rsidRPr="00F04905">
        <w:rPr>
          <w:rFonts w:ascii="Verdana" w:eastAsia="Verdana" w:hAnsi="Verdana" w:cs="Verdana"/>
          <w:vertAlign w:val="superscript"/>
        </w:rPr>
        <w:t>[8]</w:t>
      </w:r>
    </w:p>
    <w:p w14:paraId="42910150" w14:textId="650A1E8B"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Otra clasificación de las inhabilidades se desprende en razón a la calidad de servidores públicos, por ejemplo, existen las inhabilidades generales, que operan para toda clase de empleados del sector público, y las inhabilidades específicas, que operan para una determinada entidad o rama del poder público.</w:t>
      </w:r>
      <w:r w:rsidRPr="00F04905">
        <w:rPr>
          <w:rFonts w:ascii="Verdana" w:eastAsia="Verdana" w:hAnsi="Verdana" w:cs="Verdana"/>
          <w:vertAlign w:val="superscript"/>
        </w:rPr>
        <w:t>[9]</w:t>
      </w:r>
    </w:p>
    <w:p w14:paraId="4FEC352D"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2.3.1.3. Características de las Inhabilidades para ejercer cargos públicos</w:t>
      </w:r>
    </w:p>
    <w:p w14:paraId="33C0D46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Por vía jurisprudencial, la Corte Constitucional ha precisado que las inhabilidades, además de estar consagradas en la Constitución y la Ley, deben señalarse de forma expresa y clara, bien sea aquellas de carácter general o aquellas específicas para cada rama del poder público o atendiendo a la calidad del funcionario público.</w:t>
      </w:r>
    </w:p>
    <w:p w14:paraId="07A0E064" w14:textId="6FEA198E"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“Las inhabilidades, como las demás calidades, exigencias o requisitos que deben reunir los candidatos para efectos de su incorporación al servicio del Estado, en empleos de carrera o de libre nombramiento y remoción, deben estar consagradas en forma expresa y clara, y pueden hacer parte del estatuto general que rige la función pública, o de manera específica, del estatuto de carrera, o de personal de cada entidad, sector o rama del poder público</w:t>
      </w:r>
      <w:proofErr w:type="gramStart"/>
      <w:r w:rsidRPr="00F04905">
        <w:rPr>
          <w:rFonts w:ascii="Verdana" w:eastAsia="Verdana" w:hAnsi="Verdana" w:cs="Verdana"/>
        </w:rPr>
        <w:t>.”</w:t>
      </w:r>
      <w:r w:rsidRPr="00F04905">
        <w:rPr>
          <w:rFonts w:ascii="Verdana" w:eastAsia="Verdana" w:hAnsi="Verdana" w:cs="Verdana"/>
          <w:vertAlign w:val="superscript"/>
        </w:rPr>
        <w:t>[</w:t>
      </w:r>
      <w:proofErr w:type="gramEnd"/>
      <w:r w:rsidRPr="00F04905">
        <w:rPr>
          <w:rFonts w:ascii="Verdana" w:eastAsia="Verdana" w:hAnsi="Verdana" w:cs="Verdana"/>
          <w:vertAlign w:val="superscript"/>
        </w:rPr>
        <w:t>10]</w:t>
      </w:r>
    </w:p>
    <w:p w14:paraId="41CD0A8F"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Constitución establece un sistema cerrado de inhabilidades e incompatibilidades por tratarse de limitaciones al derecho fundamental de elegir y ser elegido, lo que deriva que esos límites tengan que ser de interpretación restrictiva. Así lo señaló la Corte Constitucional en Sentencia C-540 de 2001:</w:t>
      </w:r>
    </w:p>
    <w:p w14:paraId="721AEC8F" w14:textId="65B5387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"Es importante señalar que el régimen de inhabilidades e incompatibilidades de los servidores públicos está previsto en la Constitución y la ley. El legislador no puede modificar los límites fijados directamente por el constituyente en cuanto existen varias razones que impiden a la ley ampliar este régimen, entre las cuales se destacan las siguientes: 1</w:t>
      </w:r>
      <w:r w:rsidRPr="00F04905">
        <w:rPr>
          <w:rFonts w:ascii="Verdana" w:eastAsia="Verdana" w:hAnsi="Verdana" w:cs="Verdana"/>
          <w:vertAlign w:val="superscript"/>
        </w:rPr>
        <w:t>a</w:t>
      </w:r>
      <w:r w:rsidRPr="00F04905">
        <w:rPr>
          <w:rFonts w:ascii="Verdana" w:eastAsia="Verdana" w:hAnsi="Verdana" w:cs="Verdana"/>
        </w:rPr>
        <w:t>) La Constitución establece un sistema cerrado de inhabilidades e incompatibilidades por tratarse de restricciones al derecho fundamental de elegir y ser elegido (C.P., Art. 40); 2</w:t>
      </w:r>
      <w:r w:rsidRPr="00F04905">
        <w:rPr>
          <w:rFonts w:ascii="Verdana" w:eastAsia="Verdana" w:hAnsi="Verdana" w:cs="Verdana"/>
          <w:vertAlign w:val="superscript"/>
        </w:rPr>
        <w:t>a</w:t>
      </w:r>
      <w:r w:rsidRPr="00F04905">
        <w:rPr>
          <w:rFonts w:ascii="Verdana" w:eastAsia="Verdana" w:hAnsi="Verdana" w:cs="Verdana"/>
        </w:rPr>
        <w:t>) La sujeción de la ley al principio de la supremacía de la Constitución Política, lo cual impide que el legislador consagre regulaciones qué estén en contravía de la Carta o modifiquen los preceptos en ella dispuestos (C.P., art. 4</w:t>
      </w:r>
      <w:r w:rsidRPr="00F04905">
        <w:rPr>
          <w:rFonts w:ascii="Verdana" w:eastAsia="Verdana" w:hAnsi="Verdana" w:cs="Verdana"/>
          <w:vertAlign w:val="superscript"/>
        </w:rPr>
        <w:t>o</w:t>
      </w:r>
      <w:r w:rsidRPr="00F04905">
        <w:rPr>
          <w:rFonts w:ascii="Verdana" w:eastAsia="Verdana" w:hAnsi="Verdana" w:cs="Verdana"/>
        </w:rPr>
        <w:t>); 3</w:t>
      </w:r>
      <w:r w:rsidRPr="00F04905">
        <w:rPr>
          <w:rFonts w:ascii="Verdana" w:eastAsia="Verdana" w:hAnsi="Verdana" w:cs="Verdana"/>
          <w:vertAlign w:val="superscript"/>
        </w:rPr>
        <w:t>a</w:t>
      </w:r>
      <w:r w:rsidRPr="00F04905">
        <w:rPr>
          <w:rFonts w:ascii="Verdana" w:eastAsia="Verdana" w:hAnsi="Verdana" w:cs="Verdana"/>
        </w:rPr>
        <w:t>) Los límites de los derechos fundamentales tienen que ser de interpretación restrictiva: 4</w:t>
      </w:r>
      <w:r w:rsidRPr="00F04905">
        <w:rPr>
          <w:rFonts w:ascii="Verdana" w:eastAsia="Verdana" w:hAnsi="Verdana" w:cs="Verdana"/>
          <w:vertAlign w:val="superscript"/>
        </w:rPr>
        <w:t>a</w:t>
      </w:r>
      <w:r w:rsidRPr="00F04905">
        <w:rPr>
          <w:rFonts w:ascii="Verdana" w:eastAsia="Verdana" w:hAnsi="Verdana" w:cs="Verdana"/>
        </w:rPr>
        <w:t>) Cuando la propia Constitución establece un límite a un derecho fundamental y se reserva tal prerrogativa, cierra la posibilidad para que la ley, en su ámbito de competencia, pueda ser más restrictiva en esa materia”. Negrillas y subrayas fuera del texto original.</w:t>
      </w:r>
    </w:p>
    <w:p w14:paraId="0DF21746" w14:textId="61EFF832"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Corte Constitucional en Sentencia C-903 de 2008.</w:t>
      </w:r>
      <w:r w:rsidRPr="00F04905">
        <w:rPr>
          <w:rFonts w:ascii="Verdana" w:eastAsia="Verdana" w:hAnsi="Verdana" w:cs="Verdana"/>
          <w:vertAlign w:val="superscript"/>
        </w:rPr>
        <w:t>[11]</w:t>
      </w:r>
      <w:r w:rsidRPr="00F04905">
        <w:rPr>
          <w:rFonts w:ascii="Verdana" w:eastAsia="Verdana" w:hAnsi="Verdana" w:cs="Verdana"/>
        </w:rPr>
        <w:t xml:space="preserve"> especifica que, por la índole excepcional de las inhabilidades e incompatibilidades, las normas que las contemplan deben ser interpretadas, pero también aplicadas, con un criterio restrictivo y con exclusión del criterio extensivo. Sobre el punto precisó:</w:t>
      </w:r>
    </w:p>
    <w:p w14:paraId="1B738C82"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"Las inhabilidades son aquellas circunstancias creadas por la Constitución o la ley que impiden o Imposibilitan que una persona sea elegida, o designada para un cargo público (...)</w:t>
      </w:r>
    </w:p>
    <w:p w14:paraId="3AE213E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Ha señalado esta corporación que, por la índole excepcional de las inhabilidades e incompatibilidades, las normas que las contemplan deben ser interpretadas y aplicadas con un criterio restrictivo y, por ende, con exclusión de un criterio extensivo" (Subrayas y Negrilla fuera del texto original).</w:t>
      </w:r>
    </w:p>
    <w:p w14:paraId="0E22FD29" w14:textId="10AEC5F3"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En concordancia con lo anterior, el Consejo de Estado, en sentencia con Radicado No, 11001-03-15-000-2012-00059-00 (PI) del 21 de julio de 2015,</w:t>
      </w:r>
      <w:r w:rsidRPr="00F04905">
        <w:rPr>
          <w:rFonts w:ascii="Verdana" w:eastAsia="Verdana" w:hAnsi="Verdana" w:cs="Verdana"/>
          <w:vertAlign w:val="superscript"/>
        </w:rPr>
        <w:t>[12]</w:t>
      </w:r>
      <w:r w:rsidRPr="00F04905">
        <w:rPr>
          <w:rFonts w:ascii="Verdana" w:eastAsia="Verdana" w:hAnsi="Verdana" w:cs="Verdana"/>
        </w:rPr>
        <w:t xml:space="preserve"> ha precisado:</w:t>
      </w:r>
    </w:p>
    <w:p w14:paraId="6F56B8C0"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 los efectos de este fallo resulta igualmente relevante recordar que en su jurisprudencia, tanto la Corte Constitucional como el Consejo de Estado han puesto de presente que las normas que establecen derechos y libertades constitucionales deben interpretarse de manera que se garantice su más amplio ejercicio, y que aquellas normas que los limiten mediante el señalamiento de inhabilidades, incompatibilidades y calidades para el desempeño de cargos públicos, deben estar consagradas expresamente en la Constitución o en la ley y no pueden interpretarse en forma extensiva sino siempre, con la finalidad enunciada, en forma restrictiva.” (Subraya y Negrilla fuera del texto original).</w:t>
      </w:r>
    </w:p>
    <w:p w14:paraId="6CFA9A0E"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Es decir, el criterio de interpretación y aplicación restrictivo del régimen de inhabilidades e incompatibilidades de los servidores públicos impide que las autoridades creen en sus reglamentos y demás actos administrativos, inhabilidades o incompatibilidades o remisiones a las mismas, pues de lo contrario estarían usurpando funciones propias del legislador o el constituyente. Así lo analizó el Consejo de Estado en Concepto 1366 del 18 de octubre de 2001:</w:t>
      </w:r>
    </w:p>
    <w:p w14:paraId="64F4F21C" w14:textId="034EEAEC"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"Mediante el decreto reglamentario 1768 de 1994 el gobierno ejerció las anteriores autorizaciones conferidas por el artículo 116 literal h) de la ley 99 de 1993, el cual estableció mediante remisión, el siguiente régimen en su artículo 19:</w:t>
      </w:r>
    </w:p>
    <w:p w14:paraId="23F91316"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 los miembros del Consejo Directivo se les aplicará el régimen de inhabilidades e incompatibilidades previstos para los miembros de las juntas directivas de las entidades descentralizadas de todo orden”.</w:t>
      </w:r>
    </w:p>
    <w:p w14:paraId="255DF096" w14:textId="4212D2E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Esta disposición reglamentaria determina el régimen de incompatibilidades e inhabilidades aplicable a los miembros de los consejos directivos de las </w:t>
      </w:r>
      <w:r w:rsidRPr="00F04905">
        <w:rPr>
          <w:rFonts w:ascii="Verdana" w:eastAsia="Verdana" w:hAnsi="Verdana" w:cs="Verdana"/>
        </w:rPr>
        <w:lastRenderedPageBreak/>
        <w:t>corporaciones autónomas regionales, mediante el instrumento de la remisión normativa, asumiendo competencias que corresponde ejercer solamente al legislador, como quiera que se trata de establecer prohibiciones y determinar la responsabilidad de los servidores públicos y la manera de hacerla efectiva (art. 6</w:t>
      </w:r>
      <w:r w:rsidRPr="00F04905">
        <w:rPr>
          <w:rFonts w:ascii="Verdana" w:eastAsia="Verdana" w:hAnsi="Verdana" w:cs="Verdana"/>
          <w:vertAlign w:val="superscript"/>
        </w:rPr>
        <w:t>o</w:t>
      </w:r>
      <w:r w:rsidRPr="00F04905">
        <w:rPr>
          <w:rFonts w:ascii="Verdana" w:eastAsia="Verdana" w:hAnsi="Verdana" w:cs="Verdana"/>
        </w:rPr>
        <w:t xml:space="preserve">, 121 y 124 de la C.P.), y en consecuencia, tal disposición debe </w:t>
      </w:r>
      <w:proofErr w:type="spellStart"/>
      <w:r w:rsidRPr="00F04905">
        <w:rPr>
          <w:rFonts w:ascii="Verdana" w:eastAsia="Verdana" w:hAnsi="Verdana" w:cs="Verdana"/>
        </w:rPr>
        <w:t>inaplicarse</w:t>
      </w:r>
      <w:proofErr w:type="spellEnd"/>
      <w:r w:rsidRPr="00F04905">
        <w:rPr>
          <w:rFonts w:ascii="Verdana" w:eastAsia="Verdana" w:hAnsi="Verdana" w:cs="Verdana"/>
        </w:rPr>
        <w:t xml:space="preserve"> con fundamento en la prevalencia de la norma constitucional (art. 4</w:t>
      </w:r>
      <w:r w:rsidRPr="00F04905">
        <w:rPr>
          <w:rFonts w:ascii="Verdana" w:eastAsia="Verdana" w:hAnsi="Verdana" w:cs="Verdana"/>
          <w:vertAlign w:val="superscript"/>
        </w:rPr>
        <w:t>o</w:t>
      </w:r>
      <w:r w:rsidRPr="00F04905">
        <w:rPr>
          <w:rFonts w:ascii="Verdana" w:eastAsia="Verdana" w:hAnsi="Verdana" w:cs="Verdana"/>
        </w:rPr>
        <w:t>), como ya lo ha advertido esta Sala en ocasión precedente, en la Radicación No. 1266 de 2.000, al sostener:</w:t>
      </w:r>
    </w:p>
    <w:p w14:paraId="1FE369CF" w14:textId="3EC07EC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consecuencia, para la Sala no resulta viable la creación de esa figura por vía de reglamento administrativo, habida consideración de que como antes se dijo, el régimen de inhabilidades e incompatibilidades compete fijarlo al constituyente y al legislador, por lo cual resulta procedente acudir al principio de prevalencia de la norma constitucional, consagrado en el artículo 4o: superior; que hace inaplicable para el caso de la consulta el inciso 5o. del artículo 19 del decreto 1768 de 1994, por cuanto al crear una causal de inhabilidad contraría lo dispuesto en el artículo 124 de la Carta Política." (Negrilla y Subraya fuera del texto original).</w:t>
      </w:r>
    </w:p>
    <w:p w14:paraId="725EF05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Así mismo, el Departamento Administrativo para la Función Pública, en concepto del 3 de marzo de 2017, sobre las inhabilidades de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 ha señalado:</w:t>
      </w:r>
    </w:p>
    <w:p w14:paraId="3F36C751"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"Por su naturaleza, las inhabilidades e incompatibilidades son taxativas, expresas y de interpretación restrictiva, sin que puedan buscarse analogías o aducirse razones para hacerlas extensivas a casos no comprendidos por el legislador, pues la voluntad de este no puede ser suplantada, en detrimento de derechos de terceros o de intereses sociales que exigen la sujeción estricta al texto de la ley prohibitiva." (Negrilla y Subraya fuera del texto original)</w:t>
      </w:r>
    </w:p>
    <w:p w14:paraId="3389518F" w14:textId="640047D5"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misma Entidad, sobre el análisis del artículo 39 del Decreto 334 de 1980 - Estatutos del ICBF-, en concepto del 27 de marzo de 2017, precisó lo siguiente:</w:t>
      </w:r>
    </w:p>
    <w:p w14:paraId="360A9A57" w14:textId="62BBC41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"...solamente al legislador le corresponde fijar el régimen de inhabilidades e incompatibilidades de los servidores públicos, entidades las primeras como impedimentos para que una persona pueda ser nombrada o elegida para un cargo público, y las segundas como limitaciones para quien ha sido nombrado o elegido, durante el tiempo que ostente el cargo por expresa delegación del constituyente, tal como lo disponen los artículos superiores 124, 293, 303, 304 y 312."</w:t>
      </w:r>
    </w:p>
    <w:p w14:paraId="4FCFC8B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ese orden de ideas, lo que caracteriza a las inhabilidades es que deben estar consagradas únicamente en la Constitución y en la Ley, por lo cual, tienen la naturaleza de ser taxativas; expresas y de Interpretación y aplicación restrictiva, Esto implica que no pueden hacerse interpretaciones analógicas o extensivas a casos similares, pues la facultad de establecerlas corresponde de manera irrestricta al constituyente y al legislador.</w:t>
      </w:r>
    </w:p>
    <w:p w14:paraId="71539E12"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2.3.1.4. Inhabilidades para ejercer cargos públicos en la Constitución Política de 1991.</w:t>
      </w:r>
    </w:p>
    <w:p w14:paraId="2FE3FBF8" w14:textId="409F3905"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Constitución Política de 1991 establece un conjunto de inhabilidades, incompatibilidades y prohibiciones a los servidores públicos en los artículos 127, 128 y 129. Adicionalmente, el constituyente otorgó la facultad al legislador para que expidiera las leyes que regirán el ejercicio de las funciones públicas, dentro de las limitaciones que la propia Constitución define, con el fin de asegurar el cumplimiento de los principios que rigen la función administrativa. Al respecto, el numeral 23 del artículo 150 de la Carta consagra lo siguiente:</w:t>
      </w:r>
    </w:p>
    <w:p w14:paraId="5846346E" w14:textId="7336ED7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b/>
          <w:bCs/>
        </w:rPr>
        <w:t>ARTÍCULO 150</w:t>
      </w:r>
      <w:r w:rsidRPr="00F04905">
        <w:rPr>
          <w:rFonts w:ascii="Verdana" w:eastAsia="Verdana" w:hAnsi="Verdana" w:cs="Verdana"/>
        </w:rPr>
        <w:t>. Corresponde al Congreso hacer las leyes. Por medio de ellas ejerce las siguientes funciones:</w:t>
      </w:r>
    </w:p>
    <w:p w14:paraId="185649EA"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23. Expedir las leyes que regirán el ejercicio de las funciones públicas y la prestación de los servicios públicos.</w:t>
      </w:r>
    </w:p>
    <w:p w14:paraId="415E4357" w14:textId="0A8F9ED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 xml:space="preserve">Sobre el particular, la Corte Constitucional, en Sentencia C-257 de 2013 </w:t>
      </w:r>
      <w:r w:rsidRPr="00F04905">
        <w:rPr>
          <w:rFonts w:ascii="Verdana" w:eastAsia="Verdana" w:hAnsi="Verdana" w:cs="Verdana"/>
          <w:vertAlign w:val="superscript"/>
        </w:rPr>
        <w:t>[13]</w:t>
      </w:r>
      <w:r w:rsidRPr="00F04905">
        <w:rPr>
          <w:rFonts w:ascii="Verdana" w:eastAsia="Verdana" w:hAnsi="Verdana" w:cs="Verdana"/>
        </w:rPr>
        <w:t xml:space="preserve"> ha señalado que la facultad que la Constitución le otorgó al legislador para que establezca el conjunto de inhabilidades, incompatibilidades y prohibiciones, tiene como fin proteger el interés general y garantizar el cumplimiento de la función pública, teniendo en cuenta los principios de igualdad, moralidad, eficacia, economía, celeridad, imparcialidad y publicidad, Puntualmente señaló:</w:t>
      </w:r>
    </w:p>
    <w:p w14:paraId="584A3653" w14:textId="44362F5C"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Corte Constitucional ha señalado sistemáticamente que el artículo 123 de la Carta Política prescribe que los servidores públicos están al servicio del Estado y de la comunidad y ejercerán sus funciones en la forma prevista por la Constitución, la ley y el reglamento. En esa dirección, el numeral 23 del artículo 150 establece que el legislador expedirá las leyes que regirán el ejercicio de las funciones públicas y la prestación de los servicios públicos.</w:t>
      </w:r>
    </w:p>
    <w:p w14:paraId="3212E03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--De acuerdo con las normas citadas, es competencia del legislador regular la función pública y establecer los requisitos, exigencias, condiciones o calidades que deben reunir las personas que aspiran a ejercerla, así como el régimen disciplinario y el de inhabilidades, incompatibilidades y prohibiciones a que ellas están sujetas.</w:t>
      </w:r>
    </w:p>
    <w:p w14:paraId="192FDA66" w14:textId="0B94887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El ejercicio de esta potestad del legislador tiene como misión proteger el interés general, garantizar el cumplimiento de la función administrativa en los términos del artículo 209 Superior; y buscar el aseguramiento de los fines esenciales del Estado, establecidos en el artículo 2 de las Constitución. En concreto, el artículo 209 precitado establece una serie de principios que irradian el ejercicio de la función administrativa: los principios de igualdad, moralidad, eficacia, economía, celeridad, Imparcialidad y publicidad.</w:t>
      </w:r>
    </w:p>
    <w:p w14:paraId="5BDA34AC" w14:textId="157F5FC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Con el fin de asegurar el cumplimiento de estos principios, el Constituyente permitió que el legislador definiera estrictas reglas de conducta dirigidas a garantizar la moralidad pública y el ejercicio de las funciones atribuidas a los </w:t>
      </w:r>
      <w:r w:rsidRPr="00F04905">
        <w:rPr>
          <w:rFonts w:ascii="Verdana" w:eastAsia="Verdana" w:hAnsi="Verdana" w:cs="Verdana"/>
        </w:rPr>
        <w:lastRenderedPageBreak/>
        <w:t>servidores públicos, bajo el parámetro de la defensa del interés general y el cumplimiento de los fines del Estado (Arts. 122, 124 a 129 C.P.)</w:t>
      </w:r>
    </w:p>
    <w:p w14:paraId="5D239E79"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concordancia con lo anterior, nuestro ordenamiento jurídico ha ido configurando un régimen de inhabilidades, incompatibilidades y prohibiciones, dirigido a impedir o limitar el ejercicio de la función pública a los ciudadanos que no observen las condiciones establecidas para asegurar la idoneidad y probidad de quien aspira a ingresar o esté desempeñando un cargo público. De la misma manera, la regulación de inhabilidades, incompatibilidades y </w:t>
      </w:r>
      <w:proofErr w:type="gramStart"/>
      <w:r w:rsidRPr="00F04905">
        <w:rPr>
          <w:rFonts w:ascii="Verdana" w:eastAsia="Verdana" w:hAnsi="Verdana" w:cs="Verdana"/>
        </w:rPr>
        <w:t>prohibiciones,</w:t>
      </w:r>
      <w:proofErr w:type="gramEnd"/>
      <w:r w:rsidRPr="00F04905">
        <w:rPr>
          <w:rFonts w:ascii="Verdana" w:eastAsia="Verdana" w:hAnsi="Verdana" w:cs="Verdana"/>
        </w:rPr>
        <w:t xml:space="preserve"> persigue evitar cualquier tipo de injerencia indebida en la gestión de los asuntos públicos al limitar el ejercicio de ciertas actividades por los servidores públicos durante y aún después de la dejación de sus correspondientes cargos.</w:t>
      </w:r>
    </w:p>
    <w:p w14:paraId="3A8368B1"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Específicamente, sobre la posibilidad que tiene el legislador para definir el régimen de inhabilidades, incompatibilidades y prohibiciones, la Corte ha señalado, en pronunciamientos de diverso orden, que éste goza de un amplio margen de configuración.</w:t>
      </w:r>
    </w:p>
    <w:p w14:paraId="5E5414E2" w14:textId="5C82A660"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 pesar de lo anterior, el ejercicio de esta potestad legislativa se encuentra atada a límites ciertos y determinados: de un lado, aquellos fijados de manera explícita por la Carta Política en clave de valores, principios y derechos, y en particular, los establecidos en los artículos 13, 25, 26 y 40-7”. (Negrillas y subrayas fuera del texto original)</w:t>
      </w:r>
    </w:p>
    <w:p w14:paraId="5AB1FFFC"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Por lo tanto, en el marco de la habilitación al legislador para que expida leyes que rijan el ejercicio de las funciones administrativas, el Congreso estableció el régimen de inhabilidades, incompatibilidades y prohibiciones que limita el ejercicio de la función pública a aquellas personas que no cumplan con los requisitos necesarios para asegurar la idoneidad y probidad quien aspira a ingresar o está desempeñando un cargo público. Tal potestad legislativa tienes límites, los cuales </w:t>
      </w:r>
      <w:r w:rsidRPr="00F04905">
        <w:rPr>
          <w:rFonts w:ascii="Verdana" w:eastAsia="Verdana" w:hAnsi="Verdana" w:cs="Verdana"/>
        </w:rPr>
        <w:lastRenderedPageBreak/>
        <w:t>están fijados explícitamente en la Constitución Política en clave de valores, principios y derechos.</w:t>
      </w:r>
    </w:p>
    <w:p w14:paraId="79B6573C" w14:textId="3E6A9C1E"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2.3.2. Alcance e interpretación del Artículo 79 de la Ley 489 de 1998</w:t>
      </w:r>
    </w:p>
    <w:p w14:paraId="633DA031" w14:textId="17C5882A"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el marco de las competencias constitucionales otorgadas al legislador en el numeral 23 del Artículo 150 de la Constitución Política, el Congreso de la República expidió la Ley 489 de 1998, la cual tiene como objeto, regular el ejercicio de la función administrativa, determinar la estructura y definir los principios y reglas básicas de la organización y funcionamiento de la administración pública.</w:t>
      </w:r>
    </w:p>
    <w:p w14:paraId="4E375A55" w14:textId="0CD56E19"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Dentro de la estructura de la administración pública, el legislador estableció el régimen jurídico de las entidades descentralizadas del orden nacional, donde se encuentra los establecimientos públicos, que gozan de personería jurídica, autonomía administrativa y patrimonio propio,</w:t>
      </w:r>
      <w:r w:rsidRPr="00F04905">
        <w:rPr>
          <w:rFonts w:ascii="Verdana" w:eastAsia="Verdana" w:hAnsi="Verdana" w:cs="Verdana"/>
          <w:vertAlign w:val="superscript"/>
        </w:rPr>
        <w:t>[14]</w:t>
      </w:r>
      <w:r w:rsidRPr="00F04905">
        <w:rPr>
          <w:rFonts w:ascii="Verdana" w:eastAsia="Verdana" w:hAnsi="Verdana" w:cs="Verdana"/>
        </w:rPr>
        <w:t xml:space="preserve"> están adscritos a un Ministerio al Departamento Administrativo como órganos principales del poder público. Estos organismos son los encargados principalmente de atender funciones administrativas y prestar servicios públicos conforme a las reglas del Derecho Público.</w:t>
      </w:r>
      <w:r w:rsidRPr="00F04905">
        <w:rPr>
          <w:rFonts w:ascii="Verdana" w:eastAsia="Verdana" w:hAnsi="Verdana" w:cs="Verdana"/>
          <w:vertAlign w:val="superscript"/>
        </w:rPr>
        <w:t>[15]</w:t>
      </w:r>
    </w:p>
    <w:p w14:paraId="3C914340" w14:textId="1B1AFFD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artículo 72 de la Ley 489 de 1998, establece que la dirección y administración de los establecimientos públicos estará a cargo de un Consejo Directivo y de un director o gerente o presidente. Así mismo, de acuerdo con el artículo 77 de la precitada norma, corresponderá al </w:t>
      </w:r>
      <w:proofErr w:type="gramStart"/>
      <w:r w:rsidRPr="00F04905">
        <w:rPr>
          <w:rFonts w:ascii="Verdana" w:eastAsia="Verdana" w:hAnsi="Verdana" w:cs="Verdana"/>
        </w:rPr>
        <w:t>Presidente</w:t>
      </w:r>
      <w:proofErr w:type="gramEnd"/>
      <w:r w:rsidRPr="00F04905">
        <w:rPr>
          <w:rFonts w:ascii="Verdana" w:eastAsia="Verdana" w:hAnsi="Verdana" w:cs="Verdana"/>
        </w:rPr>
        <w:t xml:space="preserve"> de la República, nombrar y remover al director o gerente o presidente de estos organismos, conforme a lo establecido en el numeral 13 del artículo 189 de la Constitución Política.</w:t>
      </w:r>
    </w:p>
    <w:p w14:paraId="2BCDB5F5" w14:textId="64F1378E"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artículo 78 de la Ley 489 de 1998, señala las calidades que deben tener el director, gerente o presidente de los establecimientos públicos, entre las que se encuentra la de ser representante legal de la entidad, la celebración de los actos </w:t>
      </w:r>
      <w:r w:rsidRPr="00F04905">
        <w:rPr>
          <w:rFonts w:ascii="Verdana" w:eastAsia="Verdana" w:hAnsi="Verdana" w:cs="Verdana"/>
        </w:rPr>
        <w:lastRenderedPageBreak/>
        <w:t>y contratos necesarios para el cumplimiento de los objetivos y funciones, así como también la representación judicial y extrajudicial, entre otros.</w:t>
      </w:r>
    </w:p>
    <w:p w14:paraId="0DCA4B5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 su vez, el parágrafo del citado artículo establece:</w:t>
      </w:r>
    </w:p>
    <w:p w14:paraId="24B8886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“Parágrafo, Los establecimientos públicos nacionales, solamente podrán organizar seccionales o regionales, siempre que las funciones correspondientes no estén asignadas a las entidades del orden territorial. En este caso, el gerente o director seccional será escogido por el respectivo Gobernador, de temas enviadas por el representante legal.</w:t>
      </w:r>
    </w:p>
    <w:p w14:paraId="56554AF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creación de tales regionales o seccionales, corresponde a la figura de la desconcentración administrativa de los establecimientos públicos, con lo cual se asegura que se descongestionen las tareas y se contribuya a un rápido y eficaz diligenciamiento de los asuntos administrativos.</w:t>
      </w:r>
    </w:p>
    <w:p w14:paraId="212A532E" w14:textId="699E23D4"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Esta figura implica una transferencia de potestades desde el nivel central hacia las regionales o seccionales, sin embargo, estas se encuentran subordinadas al ente central.</w:t>
      </w:r>
      <w:r w:rsidRPr="00F04905">
        <w:rPr>
          <w:rFonts w:ascii="Verdana" w:eastAsia="Verdana" w:hAnsi="Verdana" w:cs="Verdana"/>
          <w:vertAlign w:val="superscript"/>
        </w:rPr>
        <w:t>[16]</w:t>
      </w:r>
    </w:p>
    <w:p w14:paraId="6FC5D6F0"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desconcentración, hace relación a la transferencia de potestades para la toma de decisiones, a instancias o agencias que se encuentran subordinadas al ente central, sin que necesariamente, gocen de personería jurídica, ni presupuesto, ni reglamento administrativo propio. El propósito de esta figura es el de descongestionar la gran cantidad de tareas que corresponden a las autoridades administrativas y, en ese orden de ideas, contribuir a un rápido y eficaz diligenciamiento de los asuntos administrativos.</w:t>
      </w:r>
    </w:p>
    <w:p w14:paraId="13D39D1E"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La jurisprudencia de esta Corporación se ha referido a este concepto de desconcentración, en los siguientes términos: "La desconcentración en cierta medida, es la variante práctica de la centralización, y desde un punto de vista </w:t>
      </w:r>
      <w:r w:rsidRPr="00F04905">
        <w:rPr>
          <w:rFonts w:ascii="Verdana" w:eastAsia="Verdana" w:hAnsi="Verdana" w:cs="Verdana"/>
        </w:rPr>
        <w:lastRenderedPageBreak/>
        <w:t>dinámico, se ha definido como transferencia de funciones administrativas que corresponden a órganos de una misma persona administrativa."</w:t>
      </w:r>
    </w:p>
    <w:p w14:paraId="383F38FA"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Por lo tanto, el gerente o el director seccional no es más que un subordinado del </w:t>
      </w:r>
      <w:proofErr w:type="gramStart"/>
      <w:r w:rsidRPr="00F04905">
        <w:rPr>
          <w:rFonts w:ascii="Verdana" w:eastAsia="Verdana" w:hAnsi="Verdana" w:cs="Verdana"/>
        </w:rPr>
        <w:t>Director</w:t>
      </w:r>
      <w:proofErr w:type="gramEnd"/>
      <w:r w:rsidRPr="00F04905">
        <w:rPr>
          <w:rFonts w:ascii="Verdana" w:eastAsia="Verdana" w:hAnsi="Verdana" w:cs="Verdana"/>
        </w:rPr>
        <w:t xml:space="preserve"> del establecimiento público del orden nacional, al cual la Ley le transfiere determinadas funciones necesarias para descongestionar las tareas propias de la entidad pública, sin que ello signifique que la relación jerárquica entre el gerente o director seccional sea equiparable a la del </w:t>
      </w:r>
      <w:proofErr w:type="gramStart"/>
      <w:r w:rsidRPr="00F04905">
        <w:rPr>
          <w:rFonts w:ascii="Verdana" w:eastAsia="Verdana" w:hAnsi="Verdana" w:cs="Verdana"/>
        </w:rPr>
        <w:t>Director</w:t>
      </w:r>
      <w:proofErr w:type="gramEnd"/>
      <w:r w:rsidRPr="00F04905">
        <w:rPr>
          <w:rFonts w:ascii="Verdana" w:eastAsia="Verdana" w:hAnsi="Verdana" w:cs="Verdana"/>
        </w:rPr>
        <w:t xml:space="preserve"> del establecimiento público.</w:t>
      </w:r>
    </w:p>
    <w:p w14:paraId="6C79A7AF" w14:textId="343889B8"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Entre tanto, el régimen disciplinario de los miembros de los consejos directivos y del director del establecimiento público, establecido en el artículo 79 de la Ley 489 de 1998, es el siguiente:</w:t>
      </w:r>
    </w:p>
    <w:p w14:paraId="1222CEC0" w14:textId="0983100A"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b/>
          <w:bCs/>
        </w:rPr>
        <w:t xml:space="preserve">ARTÍCULO 79. RÉGIMEN DISCIPLINARIO DE LOS MIEMBROS DE LOS CONSEJOS Y DE LOS REPRESENTANTES LEGALES DE LOS ESTABLECIMIENTOS PÚBLICOS. </w:t>
      </w:r>
      <w:r w:rsidRPr="00F04905">
        <w:rPr>
          <w:rFonts w:ascii="Verdana" w:eastAsia="Verdana" w:hAnsi="Verdana" w:cs="Verdana"/>
        </w:rPr>
        <w:t>Además de lo dispuesto en la Constitución Política sobre inhabilidades de los congresistas, diputados y concejales, para ser miembro de los consejos directivos, director, gerente o presidente de los establecimientos públicos, se tendrán en cuenta las prohibiciones, incompatibilidades y sanciones previstas en el Decreto-ley 128 de 1976, la Ley 80 de 1993 y demás normas concordantes que las modifiquen o sustituyan.</w:t>
      </w:r>
    </w:p>
    <w:p w14:paraId="5C625E0F" w14:textId="3244AB90"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Haciendo una interpretación sistemática </w:t>
      </w:r>
      <w:r w:rsidRPr="00F04905">
        <w:rPr>
          <w:rFonts w:ascii="Verdana" w:eastAsia="Verdana" w:hAnsi="Verdana" w:cs="Verdana"/>
          <w:vertAlign w:val="superscript"/>
        </w:rPr>
        <w:t>[17]</w:t>
      </w:r>
      <w:r w:rsidRPr="00F04905">
        <w:rPr>
          <w:rFonts w:ascii="Verdana" w:eastAsia="Verdana" w:hAnsi="Verdana" w:cs="Verdana"/>
        </w:rPr>
        <w:t xml:space="preserve"> del artículo 79 con los artículos 72 y 78 de la Ley 489 de 1998, es innegable que cuando el legislador hace referencia a la palabra director en el artículo 79, se está refiriendo únicamente al funcionario encargado de dirigir el establecimiento público a nivel nacional, quien es nombrado y removido por el </w:t>
      </w:r>
      <w:proofErr w:type="gramStart"/>
      <w:r w:rsidRPr="00F04905">
        <w:rPr>
          <w:rFonts w:ascii="Verdana" w:eastAsia="Verdana" w:hAnsi="Verdana" w:cs="Verdana"/>
        </w:rPr>
        <w:t>Presidente</w:t>
      </w:r>
      <w:proofErr w:type="gramEnd"/>
      <w:r w:rsidRPr="00F04905">
        <w:rPr>
          <w:rFonts w:ascii="Verdana" w:eastAsia="Verdana" w:hAnsi="Verdana" w:cs="Verdana"/>
        </w:rPr>
        <w:t xml:space="preserve"> de la República, es decir al director general. El legislador no equipara al director regional o seccional con el </w:t>
      </w:r>
      <w:proofErr w:type="gramStart"/>
      <w:r w:rsidRPr="00F04905">
        <w:rPr>
          <w:rFonts w:ascii="Verdana" w:eastAsia="Verdana" w:hAnsi="Verdana" w:cs="Verdana"/>
        </w:rPr>
        <w:t>Director</w:t>
      </w:r>
      <w:proofErr w:type="gramEnd"/>
      <w:r w:rsidRPr="00F04905">
        <w:rPr>
          <w:rFonts w:ascii="Verdana" w:eastAsia="Verdana" w:hAnsi="Verdana" w:cs="Verdana"/>
        </w:rPr>
        <w:t xml:space="preserve">, toda vez que fa naturaleza de los cargos es diferente, pues mientras el director regional o seccional solo actúa bajo la figura de la desconcentración administrativa, necesaria para un rápido y eficaz diligenciamiento de los asuntos administrativos, el director, </w:t>
      </w:r>
      <w:r w:rsidRPr="00F04905">
        <w:rPr>
          <w:rFonts w:ascii="Verdana" w:eastAsia="Verdana" w:hAnsi="Verdana" w:cs="Verdana"/>
        </w:rPr>
        <w:lastRenderedPageBreak/>
        <w:t>junto con el Consejo Directivo, son los encargados de la dirección y administración de los establecimientos públicos.</w:t>
      </w:r>
    </w:p>
    <w:p w14:paraId="44BF5C2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los tres artículos antes mencionados el legislador está regulando las actividades propias de los servidores públicos encargados de la dirección y administración de los establecimientos públicos. Únicamente hace referencia a los gerentes o directores seccionales para indicar la forma en que deben ser escogidos, más no les asigna funciones de dirección o administración al mismo nivel del Consejo Directivo, director, gerente o presidente del Establecimiento Público.</w:t>
      </w:r>
    </w:p>
    <w:p w14:paraId="7C3E79C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Como se analizó en el concepto del 3 de marzo de 2017 del Departamento Administrativo de la Función Pública, las inhabilidades e incompatibilidades son taxativas, expresas y de interpretación restrictiva, sin que puedan buscarse analogías o aducirse razones para hacerlas extensivas a casos no comprendidos por el legislador. En el caso que se estudia, el legislador no previo un régimen de inhabilidades e incompatibilidades propio para los </w:t>
      </w:r>
      <w:proofErr w:type="gramStart"/>
      <w:r w:rsidRPr="00F04905">
        <w:rPr>
          <w:rFonts w:ascii="Verdana" w:eastAsia="Verdana" w:hAnsi="Verdana" w:cs="Verdana"/>
        </w:rPr>
        <w:t>Directores</w:t>
      </w:r>
      <w:proofErr w:type="gramEnd"/>
      <w:r w:rsidRPr="00F04905">
        <w:rPr>
          <w:rFonts w:ascii="Verdana" w:eastAsia="Verdana" w:hAnsi="Verdana" w:cs="Verdana"/>
        </w:rPr>
        <w:t xml:space="preserve"> Seccionales o Regionales de los establecimientos públicos, por tanto, no puede hacerse ninguna clase de interpretación extensiva ni por la naturaleza del cargo ni por la de las funciones del director, gerente o miembros de las Juntas Directivas de tales entidades.</w:t>
      </w:r>
    </w:p>
    <w:p w14:paraId="03D21FE2" w14:textId="0CD5743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Ahora bien, en cuanto a la aplicación del régimen de Inhabilidades de los congresistas, a los miembros de las juntas directivas, el director, gerente o presidente de los establecimientos públicos, el legislador quiso equiparar el concepto de autoridad política de la que gozan los congresistas al de autoridad administrativa que ejerce el </w:t>
      </w:r>
      <w:proofErr w:type="gramStart"/>
      <w:r w:rsidRPr="00F04905">
        <w:rPr>
          <w:rFonts w:ascii="Verdana" w:eastAsia="Verdana" w:hAnsi="Verdana" w:cs="Verdana"/>
        </w:rPr>
        <w:t>Director</w:t>
      </w:r>
      <w:proofErr w:type="gramEnd"/>
      <w:r w:rsidRPr="00F04905">
        <w:rPr>
          <w:rFonts w:ascii="Verdana" w:eastAsia="Verdana" w:hAnsi="Verdana" w:cs="Verdana"/>
        </w:rPr>
        <w:t xml:space="preserve"> del establecimiento público nivel nacional, así, el Consejo de Estado en Sentencia del 20 de agosto de 2004, </w:t>
      </w:r>
      <w:r w:rsidRPr="00F04905">
        <w:rPr>
          <w:rFonts w:ascii="Verdana" w:eastAsia="Verdana" w:hAnsi="Verdana" w:cs="Verdana"/>
          <w:vertAlign w:val="superscript"/>
        </w:rPr>
        <w:t xml:space="preserve">[18] </w:t>
      </w:r>
      <w:r w:rsidRPr="00F04905">
        <w:rPr>
          <w:rFonts w:ascii="Verdana" w:eastAsia="Verdana" w:hAnsi="Verdana" w:cs="Verdana"/>
        </w:rPr>
        <w:t>señaló:</w:t>
      </w:r>
    </w:p>
    <w:p w14:paraId="2F1DE643" w14:textId="3BEE0A5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torno al tema, esta Corporación, en sentencia de 1</w:t>
      </w:r>
      <w:r w:rsidRPr="00F04905">
        <w:rPr>
          <w:rFonts w:ascii="Verdana" w:eastAsia="Verdana" w:hAnsi="Verdana" w:cs="Verdana"/>
          <w:vertAlign w:val="superscript"/>
        </w:rPr>
        <w:t>o</w:t>
      </w:r>
      <w:r w:rsidRPr="00F04905">
        <w:rPr>
          <w:rFonts w:ascii="Verdana" w:eastAsia="Verdana" w:hAnsi="Verdana" w:cs="Verdana"/>
        </w:rPr>
        <w:t xml:space="preserve"> de febrero de 2000 (Expediente AC-797e, Actor: Manuel Alberto Torres Ospina, Consejero ponente doctor Ricardo Hoyos Duque), hizo, las siguientes precisiones que, por su </w:t>
      </w:r>
      <w:r w:rsidRPr="00F04905">
        <w:rPr>
          <w:rFonts w:ascii="Verdana" w:eastAsia="Verdana" w:hAnsi="Verdana" w:cs="Verdana"/>
        </w:rPr>
        <w:lastRenderedPageBreak/>
        <w:t xml:space="preserve">importancia y pertinencia; se reiteran en esta oportunidad “...La autoridad civil confiada a un servidor público por razón de sus funciones consiste en la potestad de mando, de imposición, de dirección que ejerce sobre la generalidad de las personas, su expresión puede ser diversa v puede consistir en competencias reglamentarias, o de designación v remoción de los empleados, o en potestades correccionales o disciplinarías o de Imposición de sanciones distintas o de control que comporte poder de decisión sobre los actos o sobre las personas controladas… El concepto de autoridad civil no resulta excluyente sino comprensivo de la autoridad administrativa </w:t>
      </w:r>
      <w:proofErr w:type="gramStart"/>
      <w:r w:rsidRPr="00F04905">
        <w:rPr>
          <w:rFonts w:ascii="Verdana" w:eastAsia="Verdana" w:hAnsi="Verdana" w:cs="Verdana"/>
        </w:rPr>
        <w:t>que</w:t>
      </w:r>
      <w:proofErr w:type="gramEnd"/>
      <w:r w:rsidRPr="00F04905">
        <w:rPr>
          <w:rFonts w:ascii="Verdana" w:eastAsia="Verdana" w:hAnsi="Verdana" w:cs="Verdana"/>
        </w:rPr>
        <w:t xml:space="preserve"> relacionada con las potestades de servidor público investido de función administrativa, bien puede ser y por lo general es al mismo tiempo autoridad civil. En otros términos, si bien los conceptos de autoridad militar y jurisdiccional tienen contornos precisos, los linderos se dificultan tratándose de la autoridad política, civil y administrativa. Entendida la primera como la que atañe al manejo del Estado y se reserva al Gobierno (art, 115 C.P.) y al Congreso (art. 150 </w:t>
      </w:r>
      <w:proofErr w:type="spellStart"/>
      <w:r w:rsidRPr="00F04905">
        <w:rPr>
          <w:rFonts w:ascii="Verdana" w:eastAsia="Verdana" w:hAnsi="Verdana" w:cs="Verdana"/>
        </w:rPr>
        <w:t>ibídem</w:t>
      </w:r>
      <w:proofErr w:type="spellEnd"/>
      <w:r w:rsidRPr="00F04905">
        <w:rPr>
          <w:rFonts w:ascii="Verdana" w:eastAsia="Verdana" w:hAnsi="Verdana" w:cs="Verdana"/>
        </w:rPr>
        <w:t xml:space="preserve">) en el nivel nacional, no queda duda de que la autoridad civil es comprensiva de la autoridad administrativa sin que se identifique con ella, pues entre las dos existirá una diferencia de género a especie. Una apreciación distinta conduciría a vaciar completamente el contenido del concepto autoridad civil, pues si ella excluye lo que se debe entender por autoridad militar, jurisdiccional, política y administrativa no restaría prácticamente ninguna función para atribuirle la condición de autoridad civil..." Igualmente, en el proveído mencionado la Sala señaló que "... la determinación en cada caso concreto de si un servidor público ejerce o no autoridad civil, debe partir del análisis del contenido funcional que tenga su carao v así se podrá establecer el tipo de poderes que ejerce y las sujeciones a las cuales quedan sometidos los particulares. Si dichas potestades revisten una naturaleza tal, que su ejercicio permita tener influencia en el electorado, las mismas configuran la autoridad civil que reclama la Constitución para la estructuración de la causal de inhabilidad de que se trata. En consecuencia, lo que pretende la institución constitucional es impedir que la influencia sobre el </w:t>
      </w:r>
      <w:r w:rsidRPr="00F04905">
        <w:rPr>
          <w:rFonts w:ascii="Verdana" w:eastAsia="Verdana" w:hAnsi="Verdana" w:cs="Verdana"/>
        </w:rPr>
        <w:lastRenderedPageBreak/>
        <w:t>electorado proveniente del poder del Estado se pueda utilizar en provecho propio...o en beneficio de parientes o allegados... pues tales circunstancias empañarían el proceso político-electoral, quebrantando la igualdad de oportunidades de los candidatos...” (Negrillas y subraya fuera del texto original)</w:t>
      </w:r>
    </w:p>
    <w:p w14:paraId="291764E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naturaleza del cargo de miembro del consejo directivo, director, gerente o presidente de los establecimientos públicos implica el ejercicio de la potestad de mando de imposición y de dirección que ejerce sobre sus subordinados en el marco de sus competencias. Así mismo, estos funcionarios pueden designar y remover empleados, tienen potestades correccionales o disciplinarias o de imposición de sanciones sobre el personal a su cargo, entre otras acciones propias de los cargos de autoridad.</w:t>
      </w:r>
    </w:p>
    <w:p w14:paraId="01875747"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Por lo tanto, en el ejercicio de dichas potestades puede implicar que estos servidores públicos puedan tener influencia en el electorado, y, por tanto, se hace necesario que tengan el mismo régimen de inhabilidades de los congresistas, con el fin de prevenir que ese poder estatal del que están revestidos, pueda ser utilizado en provecho propio y con fines electorales.</w:t>
      </w:r>
    </w:p>
    <w:p w14:paraId="402BF258"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consecuencia, no es aplicable el régimen de inhabilidades e incompatibilidades de los miembros de los consejos directivos, director, gerente o presidente de los establecimientos públicos, y plenos el régimen de inhabilidades de los Congresistas, a los gerentes seccionales o directores regionales de tales entidades públicas.</w:t>
      </w:r>
    </w:p>
    <w:p w14:paraId="70FCF29C" w14:textId="32DD9810"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2.3.3. Inaplicación del Artículo 39 del Decreto 334 de 1980 – Estatutos del ICBF- a la luz del nuevo ordenamiento constitucional.</w:t>
      </w:r>
    </w:p>
    <w:p w14:paraId="32F42B68" w14:textId="4D68C82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Decreto 334 de 1980, por el cual se aprueban los estatutos del Instituto Colombiano de Bienestar Familiar, es un acto administrativo </w:t>
      </w:r>
      <w:proofErr w:type="gramStart"/>
      <w:r w:rsidRPr="00F04905">
        <w:rPr>
          <w:rFonts w:ascii="Verdana" w:eastAsia="Verdana" w:hAnsi="Verdana" w:cs="Verdana"/>
        </w:rPr>
        <w:t>pre constitucional</w:t>
      </w:r>
      <w:proofErr w:type="gramEnd"/>
      <w:r w:rsidRPr="00F04905">
        <w:rPr>
          <w:rFonts w:ascii="Verdana" w:eastAsia="Verdana" w:hAnsi="Verdana" w:cs="Verdana"/>
        </w:rPr>
        <w:t xml:space="preserve">, por tanto, sus disposiciones deben estar en armonía con las nuevas reglas </w:t>
      </w:r>
      <w:r w:rsidRPr="00F04905">
        <w:rPr>
          <w:rFonts w:ascii="Verdana" w:eastAsia="Verdana" w:hAnsi="Verdana" w:cs="Verdana"/>
        </w:rPr>
        <w:lastRenderedPageBreak/>
        <w:t>constitucionales. Corresponde analizar el cuerpo normativo del artículo 39 del mencionado Decreto, a la luz del nuevo ordenamiento constitucional.</w:t>
      </w:r>
    </w:p>
    <w:p w14:paraId="5C31FB70" w14:textId="54D3FED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Sobre el análisis de vigencia de normas preconstitucionales, la Corte Constitucional, en Sentencia C-571 de 2004,</w:t>
      </w:r>
      <w:r w:rsidRPr="00F04905">
        <w:rPr>
          <w:rFonts w:ascii="Verdana" w:eastAsia="Verdana" w:hAnsi="Verdana" w:cs="Verdana"/>
          <w:vertAlign w:val="superscript"/>
        </w:rPr>
        <w:t>[19]</w:t>
      </w:r>
      <w:r w:rsidRPr="00F04905">
        <w:rPr>
          <w:rFonts w:ascii="Verdana" w:eastAsia="Verdana" w:hAnsi="Verdana" w:cs="Verdana"/>
        </w:rPr>
        <w:t xml:space="preserve"> ha precisado lo siguiente:</w:t>
      </w:r>
    </w:p>
    <w:p w14:paraId="0487DC8C"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"Para este Tribunal, en la medida que el nuevo Estatuto Superior no consagró una cláusula general o especial de derogatoria de la normatividad preconstitucional, lo que hace su normatividad es producir un efecto retrospectivo sobre la legalidad preexistente, que implica proyectarle en forma automática todos sus mandatos superiores, de modo que aquella sólo está condenada a desaparecer cuando sus normas no armonicen con las nuevas realas constitucionales o cuando hayan sido modificadas o sustituidas por estas últimas.</w:t>
      </w:r>
    </w:p>
    <w:p w14:paraId="6B2486B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w:t>
      </w:r>
    </w:p>
    <w:p w14:paraId="735088C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3.3. Siguiendo el anterior criterio, ha precisado esta Corporación que para definir si una ley anterior es compatible con la Constitución del 91, la diferencia entre una y otra “debe llegar al nivel de una incompatibilidad real, de una contradicción manifiesta e insuperable entre los contenidos de las proposiciones de la Carta con los de la ley preexistente"[3]. De lo que se deduce que no es suficiente con que exista una simple diferencia entre la disposición preconstitucional y los fundamentos del nuevo Estatuto Superior, sino que es necesario que se trate de proposiciones antinómicas e irreconciliables para que se entienda que el texto legal ha desaparecido del ordenamiento o debe desaparecer. Dicha posición es la que mejor interpreta el mandato contenido en el artículo 9o de la Ley 153 de 1887, el cual, reconociendo el valor normativo de los textos constitucionales, prevé que "La Constitución es ley reformatoria y derogatoria de la legislación preexistente", y que toda preceptiva legal anterior a la Carta se desechará como insubsistente, cuando "sea claramente contraria a su letra o a su espíritu”.</w:t>
      </w:r>
    </w:p>
    <w:p w14:paraId="739CD90A" w14:textId="1EC5D3EF"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De otro lado, el artículo 4 de la Constitución Política de 1991 consagra que la Constitución es norma de normas y que en caso de incompatibilidad entre la Constitución y la ley u otra norma jurídica, se aplicarán las disposiciones constitucionales.</w:t>
      </w:r>
    </w:p>
    <w:p w14:paraId="633F5A3A" w14:textId="7A8610A2"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Al respecto, la Corte Constitucional, en Sentencia C-415/12,</w:t>
      </w:r>
      <w:r w:rsidRPr="00F04905">
        <w:rPr>
          <w:rFonts w:ascii="Verdana" w:eastAsia="Verdana" w:hAnsi="Verdana" w:cs="Verdana"/>
          <w:vertAlign w:val="superscript"/>
        </w:rPr>
        <w:t>[20]</w:t>
      </w:r>
      <w:r w:rsidRPr="00F04905">
        <w:rPr>
          <w:rFonts w:ascii="Verdana" w:eastAsia="Verdana" w:hAnsi="Verdana" w:cs="Verdana"/>
        </w:rPr>
        <w:t xml:space="preserve"> señaló:</w:t>
      </w:r>
    </w:p>
    <w:p w14:paraId="10755E2E" w14:textId="768180F4"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"La noción de supremacía constitucional parte de la naturaleza normativa de la Constitución, que se revela en el carácter de fuente primaria del ordenamiento jurídico. En tal sentido, el artículo 14 de la Constitución Política indica: "La Constitución es norma de normas. En todo caso de incompatibilidad entre la Constitución y la ley u otra norma jurídica, se aplicarán las disposiciones constitucionales”. Así, la naturaleza normativa del orden constitucional es la clave de la sujeción del orden jurídico restante a sus disposiciones, en virtud del carácter vinculante que tienen sus reglas. Tal condición normativa y prevalente de las normas constitucionales, la sitúan en el orden jurídico como fuente primera del sistema de derecho interno, comenzando por la validez misma de las normas </w:t>
      </w:r>
      <w:proofErr w:type="spellStart"/>
      <w:r w:rsidRPr="00F04905">
        <w:rPr>
          <w:rFonts w:ascii="Verdana" w:eastAsia="Verdana" w:hAnsi="Verdana" w:cs="Verdana"/>
        </w:rPr>
        <w:t>infraconstitucionales</w:t>
      </w:r>
      <w:proofErr w:type="spellEnd"/>
      <w:r w:rsidRPr="00F04905">
        <w:rPr>
          <w:rFonts w:ascii="Verdana" w:eastAsia="Verdana" w:hAnsi="Verdana" w:cs="Verdana"/>
        </w:rPr>
        <w:t xml:space="preserve"> cuyas formas y procedimientos de producción se hallan regulados en la propia Constitución. De ahí que la Corte haya expresado: La Constitución se erige en el marco supremo y último para determinar tanto la pertenencia al orden jurídico como la validez de cualquier norma, regla o decisión que formulen o profieran los órganos por ella instaurados. El conjunto de los actos de los órganos constituidos -Congreso, Ejecutivo y jueces- se identifica con referencia a la Constitución y no se reconoce como derecho si desconoce sus criterios de validez. La Constitución como lex superior precisa y regula las formas y métodos de producción de las normas que integran el ordenamiento y es por ello "fuente de fuentes", norma </w:t>
      </w:r>
      <w:proofErr w:type="spellStart"/>
      <w:r w:rsidRPr="00F04905">
        <w:rPr>
          <w:rFonts w:ascii="Verdana" w:eastAsia="Verdana" w:hAnsi="Verdana" w:cs="Verdana"/>
        </w:rPr>
        <w:t>normarum</w:t>
      </w:r>
      <w:proofErr w:type="spellEnd"/>
      <w:r w:rsidRPr="00F04905">
        <w:rPr>
          <w:rFonts w:ascii="Verdana" w:eastAsia="Verdana" w:hAnsi="Verdana" w:cs="Verdana"/>
        </w:rPr>
        <w:t>. Estas características de supremacía y de máxima regla de reconocimiento del orden jurídico propias de la Constitución, se expresan inequívocamente en el texto del artículo 4”. (Subraya y Negrillas fuera del texto original).</w:t>
      </w:r>
    </w:p>
    <w:p w14:paraId="01AACEE6" w14:textId="79C95491"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Teniendo en cuenta el anterior marco jurisprudencial, corresponde ahora analizar la vigencia del artículo 39 del Decreto 334 de 1980, "Por el cual se aprueban los estatutos del Instituto Colombiano de Bienestar Familiar", el cual establece:</w:t>
      </w:r>
    </w:p>
    <w:p w14:paraId="10D00C46" w14:textId="467B090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b/>
          <w:bCs/>
        </w:rPr>
        <w:t>ARTÍCULO 39.</w:t>
      </w:r>
      <w:r w:rsidRPr="00F04905">
        <w:rPr>
          <w:rFonts w:ascii="Verdana" w:eastAsia="Verdana" w:hAnsi="Verdana" w:cs="Verdana"/>
        </w:rPr>
        <w:t xml:space="preserv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o quienes hagan sus veces, los miembros de las Juntas Administradoras Regionales tienen los deberes, inhabilidades, prohibiciones e incompatibilidades que cobijan o comprenden a los miembros de la Junta Directiva y al </w:t>
      </w:r>
      <w:proofErr w:type="gramStart"/>
      <w:r w:rsidRPr="00F04905">
        <w:rPr>
          <w:rFonts w:ascii="Verdana" w:eastAsia="Verdana" w:hAnsi="Verdana" w:cs="Verdana"/>
        </w:rPr>
        <w:t>Director General</w:t>
      </w:r>
      <w:proofErr w:type="gramEnd"/>
      <w:r w:rsidRPr="00F04905">
        <w:rPr>
          <w:rFonts w:ascii="Verdana" w:eastAsia="Verdana" w:hAnsi="Verdana" w:cs="Verdana"/>
        </w:rPr>
        <w:t xml:space="preserve"> del Instituto.</w:t>
      </w:r>
    </w:p>
    <w:p w14:paraId="18738E2F"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Este artículo resulta problemático a la luz del nuevo ordenamiento constitucional, en el sentido de que establece, por la vía de la remisión, un régimen de inhabilidades, incompatibilidades y prohibiciones a los Directores Regionales, situación que, como se analizó en precedencia, genera una contradicción manifiesta e insuperable con el carácter restrictivo del régimen de inhabilidades e incompatibilidades, las cuales, en el nuevo ordenamiento jurídico, deben ser</w:t>
      </w:r>
      <w:r w:rsidRPr="00F04905">
        <w:rPr>
          <w:rFonts w:ascii="Verdana" w:eastAsia="Verdana" w:hAnsi="Verdana" w:cs="Verdana"/>
        </w:rPr>
        <w:br/>
        <w:t>creadas únicamente por el constituyente y el legislador, y su aplicación e interpretación deben tener en cuenta el criterio restrictivo, no extensivo ni analógico.</w:t>
      </w:r>
    </w:p>
    <w:p w14:paraId="242266C2"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Ahora bien, cuando una autoridad se percate de que una norma que debe aplicar, de manera clara y evidente contradice los valores y principios de la Carta Política, debe dar prevalencia a las disposiciones constitucionales, en procura de salvaguardar dichos principios y valores que se vean en riesgo de vulneración con su aplicación.</w:t>
      </w:r>
    </w:p>
    <w:p w14:paraId="56CCF778" w14:textId="1F5B2313"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El Decreto 334 de 1980 es una norma preconstitucional, cuya validez de sus disposiciones depende de la forma como estén en armonía con el nuevo conjunto de principios y valores de la Constitución Política.</w:t>
      </w:r>
    </w:p>
    <w:p w14:paraId="103E8C04" w14:textId="7298EAD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efecto, el análisis de las disposiciones señaladas en el artículo 39 del Decreto 334 de 1980, permite señalar qué dicho cuerpo normativo establece, vía remisión, </w:t>
      </w:r>
      <w:r w:rsidRPr="00F04905">
        <w:rPr>
          <w:rFonts w:ascii="Verdana" w:eastAsia="Verdana" w:hAnsi="Verdana" w:cs="Verdana"/>
        </w:rPr>
        <w:lastRenderedPageBreak/>
        <w:t xml:space="preserve">que las inhabilidades, incompatibilidades y prohibiciones de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 serán las mismas que les son aplicables a los miembros de la Junta Directiva y del </w:t>
      </w:r>
      <w:proofErr w:type="gramStart"/>
      <w:r w:rsidRPr="00F04905">
        <w:rPr>
          <w:rFonts w:ascii="Verdana" w:eastAsia="Verdana" w:hAnsi="Verdana" w:cs="Verdana"/>
        </w:rPr>
        <w:t>Director General</w:t>
      </w:r>
      <w:proofErr w:type="gramEnd"/>
      <w:r w:rsidRPr="00F04905">
        <w:rPr>
          <w:rFonts w:ascii="Verdana" w:eastAsia="Verdana" w:hAnsi="Verdana" w:cs="Verdana"/>
        </w:rPr>
        <w:t>; es decir, de aquellas establecidas en el Decreto Ley 128 de 1976.</w:t>
      </w:r>
    </w:p>
    <w:p w14:paraId="4A8E2BA0" w14:textId="7E6ACED5"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Si bien es cierto que, mediante el Decreto 334 de 1980, se establecen los estatutos que rigen la actividad del Instituto, dentro del nuevo marco constitucional no se pueden fijar, vía remisión, es decir, mediante decretos y demás actos administrativos, inhabilidades, incompatibilidades o prohibiciones a los servidores públicos del ICBF, teniendo en cuenta que su aplicación e interpretación debe hacerse de manera restrictiva, y solo le compete al constituyente o al legislador establecer el régimen de inhabilidades, incompatibilidades y prohibiciones a los Directores Regionales del instituto Colombiano de Bienestar Familiar.</w:t>
      </w:r>
    </w:p>
    <w:p w14:paraId="4B2C7F7A" w14:textId="7233F5C0"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Por lo tanto, a la luz de la jurisprudencia constitucional, el artículo 39 del Decreto 334 de 1980 - Estatutos del ICBF-, contradice la Constitución al establecer un régimen de inhabilidades, prohibiciones e incompatibilidades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 por las razones antes expuestas.</w:t>
      </w:r>
    </w:p>
    <w:p w14:paraId="052349CF" w14:textId="294757E4"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2.3.4. Alcance del Artículo 39 del Decreto 334 de 1980 – Estatutos del ICBF- frente a la Ley 75 de 1968.</w:t>
      </w:r>
    </w:p>
    <w:p w14:paraId="35D33F8D" w14:textId="2F36F681"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Ley 75 de 1968 crea el Instituto Colombiano de Bienestar Familiar como un establecimiento público, dotado de personería jurídica, autonomía administrativa y patrimonio propio.</w:t>
      </w:r>
    </w:p>
    <w:p w14:paraId="0439C44A" w14:textId="7BDADED8"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la Jurisprudencia de la Corte Constitucional se han analizado las características de los establecimientos públicos. Así la Corte, en Sentencia C - 484 de 1995,</w:t>
      </w:r>
      <w:r w:rsidRPr="00F04905">
        <w:rPr>
          <w:rFonts w:ascii="Verdana" w:eastAsia="Verdana" w:hAnsi="Verdana" w:cs="Verdana"/>
          <w:vertAlign w:val="superscript"/>
        </w:rPr>
        <w:t>[21]</w:t>
      </w:r>
      <w:r w:rsidRPr="00F04905">
        <w:rPr>
          <w:rFonts w:ascii="Verdana" w:eastAsia="Verdana" w:hAnsi="Verdana" w:cs="Verdana"/>
        </w:rPr>
        <w:t xml:space="preserve"> señaló:</w:t>
      </w:r>
    </w:p>
    <w:p w14:paraId="372C09F9"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“Para la Corte, los establecimientos públicos y las empresas industriales y comerciales del Estado, como entidades descentralizadas están dotados de un </w:t>
      </w:r>
      <w:r w:rsidRPr="00F04905">
        <w:rPr>
          <w:rFonts w:ascii="Verdana" w:eastAsia="Verdana" w:hAnsi="Verdana" w:cs="Verdana"/>
        </w:rPr>
        <w:lastRenderedPageBreak/>
        <w:t>conjunto de cualidades, entre las cuales se destaca la autonomía administrativa, con la cual cuenta la entidad para organizarse y gobernarse a sí misma; la personalidad jurídica y el patrimonio independiente son dos elementos concebidos en apoyo de la autonomía administrativa de estos entes descentralizados, pues son garantía de Independencia en el desarrollo de sus actividades; además, la autonomía a través de la descentralización conduce a una mayor libertad de las diversas instancias en la toma de decisiones, y como consecuencia de ello, una mayor eficiencia en el manejo de la cosa pública, la cual se mide por la incidencia que una entidad descentralizada tiene en el desarrollo y en la aplicación de normas jurídicas.</w:t>
      </w:r>
    </w:p>
    <w:p w14:paraId="2F876D0D" w14:textId="5C103969"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De igual modo, la autonomía de las entidades descentralizadas se concreta, en primer lugar, en la atribución que tienen de contar con sus propios órganos de dirección, según la expresa voluntad del artículo 16 del Decreto 3130 de 1968 </w:t>
      </w:r>
      <w:r w:rsidRPr="00F04905">
        <w:rPr>
          <w:rFonts w:ascii="Verdana" w:eastAsia="Verdana" w:hAnsi="Verdana" w:cs="Verdana"/>
          <w:vertAlign w:val="superscript"/>
        </w:rPr>
        <w:t>[22]</w:t>
      </w:r>
      <w:r w:rsidRPr="00F04905">
        <w:rPr>
          <w:rFonts w:ascii="Verdana" w:eastAsia="Verdana" w:hAnsi="Verdana" w:cs="Verdana"/>
        </w:rPr>
        <w:t xml:space="preserve"> </w:t>
      </w:r>
      <w:proofErr w:type="gramStart"/>
      <w:r w:rsidRPr="00F04905">
        <w:rPr>
          <w:rFonts w:ascii="Verdana" w:eastAsia="Verdana" w:hAnsi="Verdana" w:cs="Verdana"/>
        </w:rPr>
        <w:t>y</w:t>
      </w:r>
      <w:proofErr w:type="gramEnd"/>
      <w:r w:rsidRPr="00F04905">
        <w:rPr>
          <w:rFonts w:ascii="Verdana" w:eastAsia="Verdana" w:hAnsi="Verdana" w:cs="Verdana"/>
        </w:rPr>
        <w:t xml:space="preserve"> en segundo lugar, en la facultad de darse sus propios estatutos,</w:t>
      </w:r>
    </w:p>
    <w:p w14:paraId="796F4C28"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con la posibilidad de reglamentar el funcionamiento y actividad del organismo, de acuerdo con lo previsto por el artículo 24 del decreto mencionado."</w:t>
      </w:r>
    </w:p>
    <w:p w14:paraId="3DC9A2D4" w14:textId="7C57F428" w:rsidR="001C2CA3" w:rsidRPr="00F04905" w:rsidRDefault="00000000">
      <w:pPr>
        <w:spacing w:after="280" w:line="426" w:lineRule="auto"/>
        <w:jc w:val="both"/>
        <w:rPr>
          <w:rFonts w:ascii="Verdana" w:eastAsia="Verdana" w:hAnsi="Verdana" w:cs="Verdana"/>
          <w:vertAlign w:val="superscript"/>
        </w:rPr>
      </w:pPr>
      <w:r w:rsidRPr="00F04905">
        <w:rPr>
          <w:rFonts w:ascii="Verdana" w:eastAsia="Verdana" w:hAnsi="Verdana" w:cs="Verdana"/>
        </w:rPr>
        <w:t>Los estatutos de los establecimientos públicos están sometidos al sistema de jerarquía normativa del ordenamiento constitucional vigente, toda vez que, estos no pueden ejercer una facultad exclusivamente legal, incluso, el legislador no está facultado por la Constitución para delegar tal atribución. Así lo señaló la Corte Constitucional en Sentencia C-195 de 1994:</w:t>
      </w:r>
      <w:r w:rsidRPr="00F04905">
        <w:rPr>
          <w:rFonts w:ascii="Verdana" w:eastAsia="Verdana" w:hAnsi="Verdana" w:cs="Verdana"/>
          <w:vertAlign w:val="superscript"/>
        </w:rPr>
        <w:t>[23]</w:t>
      </w:r>
    </w:p>
    <w:p w14:paraId="7B78621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“Igualmente, es inexequible la última parte del literal b) de la norma acusada, por cuanto los estatutos orgánicos de las entidades referidas, los establecimientos públicos no pueden ejercer una facultad exclusivamente legal, por mandato de la Constitución, y el legislador no está autorizado por la Carta para delegar tal atribución. Conviene, pues, distinguir entre el estatuto básico de las entidades y los estatutos internos, que son los aludidos por la norma sub examine. En efecto, </w:t>
      </w:r>
      <w:r w:rsidRPr="00F04905">
        <w:rPr>
          <w:rFonts w:ascii="Verdana" w:eastAsia="Verdana" w:hAnsi="Verdana" w:cs="Verdana"/>
        </w:rPr>
        <w:lastRenderedPageBreak/>
        <w:t>el estatuto básico lo expide el Congreso mediante ley. Se entiende por tal, acogiendo la definición dada por la Corte Suprema de Justicia, el conjunto de reglas que determina su denominación, su sede, las actividades que ha de desarrollar, el patrimonio inicial y demás haberes presentes y futuros, los órganos por medio de los cuales tiene que actuar; la manera de constituirlos y sus atribuciones respecto de terceros, los representantes legales, manera de designarlos, los poderes que pueden ejercer, las formalidades y requisitos a que esté sometida la validez de sus actos.</w:t>
      </w:r>
    </w:p>
    <w:p w14:paraId="5457628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“Los estatutos básicos son, en definitiva, el complemento necesario del acto de creación propio del Congreso, mediante el cual surge la entidad pública.</w:t>
      </w:r>
    </w:p>
    <w:p w14:paraId="376C6136" w14:textId="43AF32EE"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Ley 75 de 1968 dispuso los objetivos, competencias y responsabilidades del ICBF, más no el régimen disciplinario de los servidores públicos del Instituto.</w:t>
      </w:r>
    </w:p>
    <w:p w14:paraId="53DA31FA" w14:textId="21667B0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artículo 56 de la precitada norma estableció </w:t>
      </w:r>
      <w:proofErr w:type="gramStart"/>
      <w:r w:rsidRPr="00F04905">
        <w:rPr>
          <w:rFonts w:ascii="Verdana" w:eastAsia="Verdana" w:hAnsi="Verdana" w:cs="Verdana"/>
        </w:rPr>
        <w:t>que</w:t>
      </w:r>
      <w:proofErr w:type="gramEnd"/>
      <w:r w:rsidRPr="00F04905">
        <w:rPr>
          <w:rFonts w:ascii="Verdana" w:eastAsia="Verdana" w:hAnsi="Verdana" w:cs="Verdana"/>
        </w:rPr>
        <w:t xml:space="preserve"> una vez aprobados los estatutos, estos regirán las actividades y facultades y deberes de los distintos órganos del Instituto. Tal habilitación legal no es una autorización al gobierno nacional para que establezca un régimen de inhabilidades, incompatibilidades y prohibiciones pana el ICBF, función que como ya se explicó, solo le compete al constituyente y al legislador, mas no al gobierno nacional, en el nuevo entendimiento que le asignó la Constitución Política de 1991.</w:t>
      </w:r>
    </w:p>
    <w:p w14:paraId="74BC2A18"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 xml:space="preserve">2.3.5. Régimen de inhabilidades e incompatibilidades de los </w:t>
      </w:r>
      <w:proofErr w:type="gramStart"/>
      <w:r w:rsidRPr="00F04905">
        <w:rPr>
          <w:rFonts w:ascii="Verdana" w:eastAsia="Verdana" w:hAnsi="Verdana" w:cs="Verdana"/>
          <w:b/>
          <w:bCs/>
        </w:rPr>
        <w:t>Directores Regionales</w:t>
      </w:r>
      <w:proofErr w:type="gramEnd"/>
      <w:r w:rsidRPr="00F04905">
        <w:rPr>
          <w:rFonts w:ascii="Verdana" w:eastAsia="Verdana" w:hAnsi="Verdana" w:cs="Verdana"/>
          <w:b/>
          <w:bCs/>
        </w:rPr>
        <w:t xml:space="preserve"> del Instituto Colombiano de Bienestar Familiar</w:t>
      </w:r>
    </w:p>
    <w:p w14:paraId="71A7D898" w14:textId="0D1E05A1"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Teniendo en cuenta que el legislador no dispuso de un régimen de inhabilidades específicas para los Directores Regionales de los establecimientos públicos, a estos les son aplicables las inhabilidades generales o comunes a todos los servidores públicos, como las que se encuentran consagradas en los artículos 122, 126 y 128 de la Constitución Política, así mismo como las inhabilidades que le son aplicables </w:t>
      </w:r>
      <w:r w:rsidRPr="00F04905">
        <w:rPr>
          <w:rFonts w:ascii="Verdana" w:eastAsia="Verdana" w:hAnsi="Verdana" w:cs="Verdana"/>
        </w:rPr>
        <w:lastRenderedPageBreak/>
        <w:t xml:space="preserve">a todos </w:t>
      </w:r>
      <w:proofErr w:type="spellStart"/>
      <w:r w:rsidRPr="00F04905">
        <w:rPr>
          <w:rFonts w:ascii="Verdana" w:eastAsia="Verdana" w:hAnsi="Verdana" w:cs="Verdana"/>
        </w:rPr>
        <w:t>los.servidores</w:t>
      </w:r>
      <w:proofErr w:type="spellEnd"/>
      <w:r w:rsidRPr="00F04905">
        <w:rPr>
          <w:rFonts w:ascii="Verdana" w:eastAsia="Verdana" w:hAnsi="Verdana" w:cs="Verdana"/>
        </w:rPr>
        <w:t xml:space="preserve"> públicos de la Rama Ejecutiva consagradas en el artículo 38 de la Ley 734 de 2002 y el artículo 8 de la Ley 80 de 1993, entre otras normas expresas.</w:t>
      </w:r>
    </w:p>
    <w:p w14:paraId="4F2D456A"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2.3.6. Interpretaciones anteriores y fundamento de cambio de postura</w:t>
      </w:r>
    </w:p>
    <w:p w14:paraId="16CCD9A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Desde el año 2017 y hasta la fecha de expedición del presente concepto, la Oficina Asesora Jurídica y la Dirección de Gestión Humana para el análisis de unos casos con unas particularidades específicas, se pronunció en varias ocasiones respecto de la aplicación del régimen de inhabilidades e incompatibilidades de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w:t>
      </w:r>
    </w:p>
    <w:p w14:paraId="4BC60BCB" w14:textId="7E22AAF5"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empleo de </w:t>
      </w:r>
      <w:proofErr w:type="gramStart"/>
      <w:r w:rsidRPr="00F04905">
        <w:rPr>
          <w:rFonts w:ascii="Verdana" w:eastAsia="Verdana" w:hAnsi="Verdana" w:cs="Verdana"/>
        </w:rPr>
        <w:t>Director</w:t>
      </w:r>
      <w:proofErr w:type="gramEnd"/>
      <w:r w:rsidRPr="00F04905">
        <w:rPr>
          <w:rFonts w:ascii="Verdana" w:eastAsia="Verdana" w:hAnsi="Verdana" w:cs="Verdana"/>
        </w:rPr>
        <w:t xml:space="preserve"> o Gerente Seccional de Establecimiento Público del orden Nacional está clasificado como un cargo de la Administración descentralizada del nivel nacional de conformidad con el artículo 5 numeral 2 literal a) de la Ley 909 de 2004 en relación con los empleos de "</w:t>
      </w:r>
      <w:proofErr w:type="gramStart"/>
      <w:r w:rsidRPr="00F04905">
        <w:rPr>
          <w:rFonts w:ascii="Verdana" w:eastAsia="Verdana" w:hAnsi="Verdana" w:cs="Verdana"/>
        </w:rPr>
        <w:t>Director</w:t>
      </w:r>
      <w:proofErr w:type="gramEnd"/>
      <w:r w:rsidRPr="00F04905">
        <w:rPr>
          <w:rFonts w:ascii="Verdana" w:eastAsia="Verdana" w:hAnsi="Verdana" w:cs="Verdana"/>
        </w:rPr>
        <w:t xml:space="preserve"> o Gerente Territorial, Regional, Seccional o Local."</w:t>
      </w:r>
    </w:p>
    <w:p w14:paraId="07BF52D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De manera que corresponden a funcionarios que representan al </w:t>
      </w:r>
      <w:proofErr w:type="gramStart"/>
      <w:r w:rsidRPr="00F04905">
        <w:rPr>
          <w:rFonts w:ascii="Verdana" w:eastAsia="Verdana" w:hAnsi="Verdana" w:cs="Verdana"/>
        </w:rPr>
        <w:t>Director General</w:t>
      </w:r>
      <w:proofErr w:type="gramEnd"/>
      <w:r w:rsidRPr="00F04905">
        <w:rPr>
          <w:rFonts w:ascii="Verdana" w:eastAsia="Verdana" w:hAnsi="Verdana" w:cs="Verdana"/>
        </w:rPr>
        <w:t xml:space="preserve"> Nacional en un Departamento, es decir que se trata de oficinas desconcentradas del nivel nacional en el territorio.</w:t>
      </w:r>
    </w:p>
    <w:p w14:paraId="51D92797" w14:textId="6EAC3CE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Revisado el contenido normativo del Artículo 79 de la Ley 489 de 1998, se encuentra que la misma hace referencia de manera general a “</w:t>
      </w:r>
      <w:proofErr w:type="gramStart"/>
      <w:r w:rsidRPr="00F04905">
        <w:rPr>
          <w:rFonts w:ascii="Verdana" w:eastAsia="Verdana" w:hAnsi="Verdana" w:cs="Verdana"/>
        </w:rPr>
        <w:t>Directores</w:t>
      </w:r>
      <w:proofErr w:type="gramEnd"/>
      <w:r w:rsidRPr="00F04905">
        <w:rPr>
          <w:rFonts w:ascii="Verdana" w:eastAsia="Verdana" w:hAnsi="Verdana" w:cs="Verdana"/>
        </w:rPr>
        <w:t>” de Establecimiento Público como sujeto pasivo del régimen de inhabilidades, sin que la disposición haga distinción alguna a la nomenclatura específica del Empleo.</w:t>
      </w:r>
    </w:p>
    <w:p w14:paraId="12D0BBE0" w14:textId="263998E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Teniendo en cuenta la precitada norma, es preciso remitirnos por remisión expresa al artículo 179 de la Constitución Política que contiene las inhabilidades para ser Congresista, enfocando el análisis en las causales 2 y 3 advertidas.</w:t>
      </w:r>
    </w:p>
    <w:p w14:paraId="6CC4490E" w14:textId="1AC9E76A"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En relación con el numeral 2o del artículo 179 de la Constitución Política, el alcance del concepto por el cual se debe entender la autoridad administrativa ha sido objeto de diversos pronunciamientos del Consejo de Estado, entre ellos la sentencia del 5 de julio de 2007,</w:t>
      </w:r>
      <w:r w:rsidRPr="00F04905">
        <w:rPr>
          <w:rFonts w:ascii="Verdana" w:eastAsia="Verdana" w:hAnsi="Verdana" w:cs="Verdana"/>
          <w:vertAlign w:val="superscript"/>
        </w:rPr>
        <w:t>[24]</w:t>
      </w:r>
      <w:r w:rsidRPr="00F04905">
        <w:rPr>
          <w:rFonts w:ascii="Verdana" w:eastAsia="Verdana" w:hAnsi="Verdana" w:cs="Verdana"/>
        </w:rPr>
        <w:t xml:space="preserve"> en la cual, haciendo referencia a pronunciamientos previos, señaló:</w:t>
      </w:r>
    </w:p>
    <w:p w14:paraId="41337F4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A diferencia del concepto de autoridad civil, el de autoridad administrativa no fue definido expresamente por el legislador. Sin embargo, la Sala Plena de lo Contencioso Administrativo ha dicho que "es aquella que ejercen quienes desempeñan cargos de la administración nacional, departamental y municipal o de los órganos electorales y de control que impliquen poderes decisorios de mando o imposición sobre los subordinados o la sociedad. La autoridad administrativa, comprende, entonces, las funciones administrativas de una connotación como la descrita y excluye las demás que no alcanzan a tener esa importancia. (...)</w:t>
      </w:r>
    </w:p>
    <w:p w14:paraId="6FA6442B" w14:textId="62D44E04"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También resulta pertinente precisar que esta Sección ha dicho que quien ejerce dirección administrativa, conforme al artículo 190 de la Ley 136 de 1994, tiene igualmente autoridad administrativa. Sin embargo, el concepto de autoridad administrativa es más amplio que él de dirección administrativa y comprende, por tanto, el ejercicio de funciones que no se encuentran incluidas dentro de las mencionadas por el citado artículo 190, tales como las que impliquen otros poderes decisorios de mando o imposición sobre los subordinados o la sociedad, </w:t>
      </w:r>
      <w:proofErr w:type="gramStart"/>
      <w:r w:rsidRPr="00F04905">
        <w:rPr>
          <w:rFonts w:ascii="Verdana" w:eastAsia="Verdana" w:hAnsi="Verdana" w:cs="Verdana"/>
        </w:rPr>
        <w:t>(….</w:t>
      </w:r>
      <w:proofErr w:type="gramEnd"/>
      <w:r w:rsidRPr="00F04905">
        <w:rPr>
          <w:rFonts w:ascii="Verdana" w:eastAsia="Verdana" w:hAnsi="Verdana" w:cs="Verdana"/>
        </w:rPr>
        <w:t>)</w:t>
      </w:r>
    </w:p>
    <w:p w14:paraId="5892181C" w14:textId="5EC2D000"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Igualmente, la Sala de Consulta y Servicio Civil del Consejo de Estado en Concepto 2355 de 2017 </w:t>
      </w:r>
      <w:r w:rsidRPr="00F04905">
        <w:rPr>
          <w:rFonts w:ascii="Verdana" w:eastAsia="Verdana" w:hAnsi="Verdana" w:cs="Verdana"/>
          <w:vertAlign w:val="superscript"/>
        </w:rPr>
        <w:t>[25]</w:t>
      </w:r>
      <w:r w:rsidRPr="00F04905">
        <w:rPr>
          <w:rFonts w:ascii="Verdana" w:eastAsia="Verdana" w:hAnsi="Verdana" w:cs="Verdana"/>
        </w:rPr>
        <w:t xml:space="preserve"> y retomando lo expuesto en concepto del 5 de noviembre de 1991 </w:t>
      </w:r>
      <w:r w:rsidRPr="00F04905">
        <w:rPr>
          <w:rFonts w:ascii="Verdana" w:eastAsia="Verdana" w:hAnsi="Verdana" w:cs="Verdana"/>
          <w:vertAlign w:val="superscript"/>
        </w:rPr>
        <w:t>[26]</w:t>
      </w:r>
      <w:r w:rsidRPr="00F04905">
        <w:rPr>
          <w:rFonts w:ascii="Verdana" w:eastAsia="Verdana" w:hAnsi="Verdana" w:cs="Verdana"/>
        </w:rPr>
        <w:t xml:space="preserve"> de la misma sala, señaló:</w:t>
      </w:r>
    </w:p>
    <w:p w14:paraId="77B3D8FD"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b) Los cargos con autoridad administrativa son todos los que corresponden a la administración nacional, departamental y municipal, incluidos los órganos electorales y de control, que impliquen poderes decisorios, de mando o imposición, </w:t>
      </w:r>
      <w:r w:rsidRPr="00F04905">
        <w:rPr>
          <w:rFonts w:ascii="Verdana" w:eastAsia="Verdana" w:hAnsi="Verdana" w:cs="Verdana"/>
        </w:rPr>
        <w:lastRenderedPageBreak/>
        <w:t>sobre los subordinados o la sociedad. Tales son, por ejemplo, los cargos de directores o gerentes de establecimientos públicos y empresas industriales y comerciales del Estado, de los departamentos y municipios; gobernadores y alcaldes; Contralor General de la República, contralores departamentales y municipales; Procurador General de la Nación, Defensor del Pueblo, miembro del Consejo Nacional Electoral y Registrador Nacional del Estado Civil. (Subrayado y negrilla fuera de texto).</w:t>
      </w:r>
    </w:p>
    <w:p w14:paraId="4998548D" w14:textId="7B6A2DF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En cuanto a la inhabilidad establecida en el numeral 3</w:t>
      </w:r>
      <w:r w:rsidRPr="00F04905">
        <w:rPr>
          <w:rFonts w:ascii="Verdana" w:eastAsia="Verdana" w:hAnsi="Verdana" w:cs="Verdana"/>
          <w:vertAlign w:val="superscript"/>
        </w:rPr>
        <w:t>o</w:t>
      </w:r>
      <w:r w:rsidRPr="00F04905">
        <w:rPr>
          <w:rFonts w:ascii="Verdana" w:eastAsia="Verdana" w:hAnsi="Verdana" w:cs="Verdana"/>
        </w:rPr>
        <w:t xml:space="preserve"> del artículo 179 de la Constitución Política, es preciso señalar que la misma en el caso planteado se derivaría de la autoridad administrativa, por lo que las causales 2 y 3 deben ser analizadas conjuntamente.</w:t>
      </w:r>
    </w:p>
    <w:p w14:paraId="73F07BC3" w14:textId="2D9EE6AE"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Cabe resaltar así mismo, que el penúltimo inciso del citado artículo 179 dispone "Las inhabilidades previstas en los numerales 2, 3, 5 y 6 se refieren a situaciones que tengan tugar en la circunscripción en la cual deba efectuarse la respectiva elección, (...)”</w:t>
      </w:r>
    </w:p>
    <w:p w14:paraId="6BC8E02C" w14:textId="0EF6365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este orden de ideas, esta Oficina considera que si dentro de los doce (12) meses anteriores a tomar posesión del cargo de director regional, el aspirante se desempeñó como </w:t>
      </w:r>
      <w:proofErr w:type="gramStart"/>
      <w:r w:rsidRPr="00F04905">
        <w:rPr>
          <w:rFonts w:ascii="Verdana" w:eastAsia="Verdana" w:hAnsi="Verdana" w:cs="Verdana"/>
        </w:rPr>
        <w:t>Director Regional</w:t>
      </w:r>
      <w:proofErr w:type="gramEnd"/>
      <w:r w:rsidRPr="00F04905">
        <w:rPr>
          <w:rFonts w:ascii="Verdana" w:eastAsia="Verdana" w:hAnsi="Verdana" w:cs="Verdana"/>
        </w:rPr>
        <w:t xml:space="preserve"> de un establecimiento público en la misma jurisdicción territorial en la cual se va a desempeñar, se encontraría inhabilitado por disposición del numeral 2</w:t>
      </w:r>
      <w:r w:rsidRPr="00F04905">
        <w:rPr>
          <w:rFonts w:ascii="Verdana" w:eastAsia="Verdana" w:hAnsi="Verdana" w:cs="Verdana"/>
          <w:vertAlign w:val="superscript"/>
        </w:rPr>
        <w:t>o</w:t>
      </w:r>
      <w:r w:rsidRPr="00F04905">
        <w:rPr>
          <w:rFonts w:ascii="Verdana" w:eastAsia="Verdana" w:hAnsi="Verdana" w:cs="Verdana"/>
        </w:rPr>
        <w:t xml:space="preserve"> del artículo 179 de la Constitución Política.</w:t>
      </w:r>
    </w:p>
    <w:p w14:paraId="144CED66" w14:textId="1E417A8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Al respecto, la interpretación de las inhabilidades para ser congresista, consagradas en el artículo 179 de la Constitución Política, sobre de las autoridades administrativas, se hace extensiva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 los establecimientos públicos. Si bien es cierto que los mentados funcionarios ejercen autoridad administrativa, en el marco de la desconcentración administrativa, cada una de estas autoridades que se presentan como ejemplo en el concepto 2355 del 5 de diciembre de 2017 del Consejo de Estado, tienen su régimen de inhabilidades </w:t>
      </w:r>
      <w:r w:rsidRPr="00F04905">
        <w:rPr>
          <w:rFonts w:ascii="Verdana" w:eastAsia="Verdana" w:hAnsi="Verdana" w:cs="Verdana"/>
        </w:rPr>
        <w:lastRenderedPageBreak/>
        <w:t>e incompatibilidades expresamente señaladas en la Ley. No puede, entonces hacerse una interpretación analógica o extensiva de las inhabilidades de los alcaldes y gobernadores con la de los directores regionales de los establecimientos públicos, por el solo hecho de ser autoridades administrativas territoriales.</w:t>
      </w:r>
    </w:p>
    <w:p w14:paraId="663C2DCE"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concepto de viabilidad jurídica del nombramiento de una aspirante al cargo de </w:t>
      </w:r>
      <w:proofErr w:type="gramStart"/>
      <w:r w:rsidRPr="00F04905">
        <w:rPr>
          <w:rFonts w:ascii="Verdana" w:eastAsia="Verdana" w:hAnsi="Verdana" w:cs="Verdana"/>
        </w:rPr>
        <w:t>Director Regional</w:t>
      </w:r>
      <w:proofErr w:type="gramEnd"/>
      <w:r w:rsidRPr="00F04905">
        <w:rPr>
          <w:rFonts w:ascii="Verdana" w:eastAsia="Verdana" w:hAnsi="Verdana" w:cs="Verdana"/>
        </w:rPr>
        <w:t xml:space="preserve"> Sucre, en el marco del fallo de tutela del 17 de marzo de 2017, esta oficina señaló:</w:t>
      </w:r>
    </w:p>
    <w:p w14:paraId="2DB62A2E" w14:textId="467504B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"6.6. Inhabilidades por remisión expresa del artículo 79 de la Ley 489 de 1998.</w:t>
      </w:r>
    </w:p>
    <w:p w14:paraId="407CE13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Se observa que la misma se les aplica a los directores, gerentes y presidentes de establecimiento públicos, es decir; se aplica para pulen aspire a ser director del instituto Colombiano de Bienestar Familiar, sin ninguna distinción, es decir, sea del orden general o de alguna regional”</w:t>
      </w:r>
    </w:p>
    <w:p w14:paraId="11D968F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De manera adicional debe tenerse en cuenta que el instituto Colombiano de Bienestar Familiar es un establecimiento público, creado mediante Ley 75 de 1998.</w:t>
      </w:r>
    </w:p>
    <w:p w14:paraId="5C9C2E48"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Respecto de la naturaleza y capacidad jurídica de los establecimientos públicos debe tenerse en cuenta lo indicado por la Corte Constitucional en Sentencia C-295 de 1995, en la que señala que:</w:t>
      </w:r>
    </w:p>
    <w:p w14:paraId="6EA87198" w14:textId="62152F79"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los establecimientos públicos del orden nacional deben ser creados por la ley. En ella se determina su marco normativo general, en el cual deben definirse sus objetivos, competencias, la responsabilidad de sus autoridades, y las reglas generales aplicables a sus servidores en materia de función pública, esto es lo que atañe con la naturaleza jurídica de las relaciones de sus servidores, la creación, supresión y fusión de empleos, las condiciones de acceso al servicio público, el retiro del mismo, las situaciones administrativas y el régimen disciplinario y de carrera administrativa, (arts. 6, 121, 122, 123, 124, 125, 126, 127, 128, 150-7, 23 y 210). (subraya y negrillas fuera del texto original).</w:t>
      </w:r>
    </w:p>
    <w:p w14:paraId="4F1AD492"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Así las cosas, se observa que la Ley 75 de 1998 se dispuso los objetivos, competencias y responsabilidades del ICBF, y se determinó, entre otros asuntos, la necesidad de establecer unos estatutos que regían la actividad de la entidad, así como las facultades y deberes de sus distintos órganos y funcionarios de la entidad".</w:t>
      </w:r>
    </w:p>
    <w:p w14:paraId="5359C4B9" w14:textId="585C62F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soporte jurisprudencial analizado en el anterior concepto corresponde a la obiter dicta de la Sentencia C-295 de 1995, la cual no tiene carácter vinculante, y solo sirve de criterio auxiliar de interpretación. Esta corresponde a opiniones más o menos incidentales </w:t>
      </w:r>
      <w:r w:rsidRPr="00F04905">
        <w:rPr>
          <w:rFonts w:ascii="Verdana" w:eastAsia="Verdana" w:hAnsi="Verdana" w:cs="Verdana"/>
          <w:vertAlign w:val="superscript"/>
        </w:rPr>
        <w:t>[27]</w:t>
      </w:r>
      <w:r w:rsidRPr="00F04905">
        <w:rPr>
          <w:rFonts w:ascii="Verdana" w:eastAsia="Verdana" w:hAnsi="Verdana" w:cs="Verdana"/>
        </w:rPr>
        <w:t xml:space="preserve"> en la argumentación de la Corte Constitucional, más no constituye la razón de la decisión o ratio </w:t>
      </w:r>
      <w:proofErr w:type="spellStart"/>
      <w:r w:rsidRPr="00F04905">
        <w:rPr>
          <w:rFonts w:ascii="Verdana" w:eastAsia="Verdana" w:hAnsi="Verdana" w:cs="Verdana"/>
        </w:rPr>
        <w:t>decidendi</w:t>
      </w:r>
      <w:proofErr w:type="spellEnd"/>
      <w:r w:rsidRPr="00F04905">
        <w:rPr>
          <w:rFonts w:ascii="Verdana" w:eastAsia="Verdana" w:hAnsi="Verdana" w:cs="Verdana"/>
        </w:rPr>
        <w:t>, la cual sí tiene carácter vinculante y constituye precedente jurisprudencial.</w:t>
      </w:r>
    </w:p>
    <w:p w14:paraId="35DCC553" w14:textId="2927BC74"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El problema jurídico de la Sentencia C-295 de 1995, versa sobre la demanda de inconstitucionalidad de los artículos 20 y 21 de la Ley 119 de 1994,</w:t>
      </w:r>
      <w:r w:rsidRPr="00F04905">
        <w:rPr>
          <w:rFonts w:ascii="Verdana" w:eastAsia="Verdana" w:hAnsi="Verdana" w:cs="Verdana"/>
          <w:vertAlign w:val="superscript"/>
        </w:rPr>
        <w:t>[28]</w:t>
      </w:r>
      <w:r w:rsidRPr="00F04905">
        <w:rPr>
          <w:rFonts w:ascii="Verdana" w:eastAsia="Verdana" w:hAnsi="Verdana" w:cs="Verdana"/>
        </w:rPr>
        <w:t xml:space="preserve"> por la cual se reestructura el SENA, por cuanto pueden vulnerar los artículos 305-13 </w:t>
      </w:r>
      <w:r w:rsidRPr="00F04905">
        <w:rPr>
          <w:rFonts w:ascii="Verdana" w:eastAsia="Verdana" w:hAnsi="Verdana" w:cs="Verdana"/>
          <w:vertAlign w:val="superscript"/>
        </w:rPr>
        <w:t>[29]</w:t>
      </w:r>
      <w:r w:rsidRPr="00F04905">
        <w:rPr>
          <w:rFonts w:ascii="Verdana" w:eastAsia="Verdana" w:hAnsi="Verdana" w:cs="Verdana"/>
        </w:rPr>
        <w:t xml:space="preserve"> y 287-2 </w:t>
      </w:r>
      <w:r w:rsidRPr="00F04905">
        <w:rPr>
          <w:rFonts w:ascii="Verdana" w:eastAsia="Verdana" w:hAnsi="Verdana" w:cs="Verdana"/>
          <w:vertAlign w:val="superscript"/>
        </w:rPr>
        <w:t>[30]</w:t>
      </w:r>
      <w:r w:rsidRPr="00F04905">
        <w:rPr>
          <w:rFonts w:ascii="Verdana" w:eastAsia="Verdana" w:hAnsi="Verdana" w:cs="Verdana"/>
        </w:rPr>
        <w:t xml:space="preserve"> de la Constitución Política, porque con estos se desconoce la atribución que tiene el gobernador del departamento para escoger de las ternas enviadas por el jefe nacional respectivo, los gerentes o jefes seccionales de los establecimientos públicos del orden nacional que operen en el departamento y autonomía de que gozan las entidades territoriales.</w:t>
      </w:r>
    </w:p>
    <w:p w14:paraId="718ACC01"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Por lo tanto, un análisis de la naturaleza jurídica de los establecimientos públicos en el marco del mencionado problema jurídico no puede servir </w:t>
      </w:r>
      <w:proofErr w:type="spellStart"/>
      <w:r w:rsidRPr="00F04905">
        <w:rPr>
          <w:rFonts w:ascii="Verdana" w:eastAsia="Verdana" w:hAnsi="Verdana" w:cs="Verdana"/>
        </w:rPr>
        <w:t>mas</w:t>
      </w:r>
      <w:proofErr w:type="spellEnd"/>
      <w:r w:rsidRPr="00F04905">
        <w:rPr>
          <w:rFonts w:ascii="Verdana" w:eastAsia="Verdana" w:hAnsi="Verdana" w:cs="Verdana"/>
        </w:rPr>
        <w:t xml:space="preserve"> que de criterio auxiliar de interpretación, mas no como regla jurisprudencial o ratio </w:t>
      </w:r>
      <w:proofErr w:type="spellStart"/>
      <w:r w:rsidRPr="00F04905">
        <w:rPr>
          <w:rFonts w:ascii="Verdana" w:eastAsia="Verdana" w:hAnsi="Verdana" w:cs="Verdana"/>
        </w:rPr>
        <w:t>decidendi</w:t>
      </w:r>
      <w:proofErr w:type="spellEnd"/>
      <w:r w:rsidRPr="00F04905">
        <w:rPr>
          <w:rFonts w:ascii="Verdana" w:eastAsia="Verdana" w:hAnsi="Verdana" w:cs="Verdana"/>
        </w:rPr>
        <w:t xml:space="preserve"> del caso que se estudia.</w:t>
      </w:r>
    </w:p>
    <w:p w14:paraId="74C12DCF" w14:textId="358DF92E"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síntesis, en lo que respecta a las anteriores interpretaciones de esta oficina sobre la materia en estudio, es necesario señalar, que los conceptos no constituyen, en principio, una decisión administrativa, pues no se orientan a afectar la esfera jurídica de los administrados, por lo tanto, no generan deberes u </w:t>
      </w:r>
      <w:r w:rsidRPr="00F04905">
        <w:rPr>
          <w:rFonts w:ascii="Verdana" w:eastAsia="Verdana" w:hAnsi="Verdana" w:cs="Verdana"/>
        </w:rPr>
        <w:lastRenderedPageBreak/>
        <w:t>obligaciones y no otorgan derechos.</w:t>
      </w:r>
      <w:r w:rsidRPr="00F04905">
        <w:rPr>
          <w:rFonts w:ascii="Verdana" w:eastAsia="Verdana" w:hAnsi="Verdana" w:cs="Verdana"/>
          <w:vertAlign w:val="superscript"/>
        </w:rPr>
        <w:t>[31]</w:t>
      </w:r>
      <w:r w:rsidRPr="00F04905">
        <w:rPr>
          <w:rFonts w:ascii="Verdana" w:eastAsia="Verdana" w:hAnsi="Verdana" w:cs="Verdana"/>
        </w:rPr>
        <w:t xml:space="preserve"> Además, el interesado a favor del cual se emita el concepto tiene la opción de acogerlo o no. Esta es pues una de las grandes diferencias entre el acto administrativo y el concepto jurídico.</w:t>
      </w:r>
    </w:p>
    <w:p w14:paraId="32074A52" w14:textId="7BCCA23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Por lo tanto, los conceptos emitidos por las autoridades son una orientación, un consejo, un punto de vista </w:t>
      </w:r>
      <w:r w:rsidRPr="00F04905">
        <w:rPr>
          <w:rFonts w:ascii="Verdana" w:eastAsia="Verdana" w:hAnsi="Verdana" w:cs="Verdana"/>
          <w:vertAlign w:val="superscript"/>
        </w:rPr>
        <w:t>[32]</w:t>
      </w:r>
      <w:r w:rsidRPr="00F04905">
        <w:rPr>
          <w:rFonts w:ascii="Verdana" w:eastAsia="Verdana" w:hAnsi="Verdana" w:cs="Verdana"/>
        </w:rPr>
        <w:t xml:space="preserve"> que puede variar dependiendo de las circunstancias y hechos que tenga en cuenta la administración al momento de emitirlo.</w:t>
      </w:r>
    </w:p>
    <w:p w14:paraId="5CBB09D3"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El presente concepto tiene marco de interpretación general a la luz de la Constitución Política de 1991 y de la jurisprudencia constitucional y del Consejo de Estado, sobre el carácter restrictivo de interpretación y aplicación de las inhabilidades, incompatibilidades y prohibiciones de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w:t>
      </w:r>
    </w:p>
    <w:p w14:paraId="0E74BBEC" w14:textId="64152030"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El cambio de interpretación normativa se fundamentales que al considerar la jurisprudencia de la Corte Constitucional y el Consejo de Estado sobre el carácter restrictivo de las inhabilidades e incompatibilidades de los servidores públicos es claro que no pueden hacerse interpretaciones extensivas del régimen de inhabilidades, tal como se hizo en anteriores conceptos jurídicos, donde se hizo extensivo el contenido del artículo 79 de Ley 489 de 1998, propio del Director y los</w:t>
      </w:r>
      <w:r w:rsidRPr="00F04905">
        <w:rPr>
          <w:rFonts w:ascii="Verdana" w:eastAsia="Verdana" w:hAnsi="Verdana" w:cs="Verdana"/>
        </w:rPr>
        <w:br/>
        <w:t>miembros de la Junta Directiva, para que fuera aplicable a los Directores Regionales, lo cual desconoce la prohibición comentada.</w:t>
      </w:r>
    </w:p>
    <w:p w14:paraId="2F59FF2A" w14:textId="12C74DB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Así mismo, bajo la óptica de los reiterados pronunciamientos del Departamento Administrativo para la Función Pública sobre el análisis del régimen de inhabilidades e incompatibilidades de los Directores Regionales, en conceptos del 3 de marzo de 2017, 227 de marzo de 2017 y 1 de octubre de 2018, esa entidad concluye que “las inhabilidades del artículo 79 de la Ley 489 de 1998 no se hacen extensivas a los directores regionales y/o directores de procesos en los establecimientos públicos”, puesto que como se analizó a lo largo de este </w:t>
      </w:r>
      <w:r w:rsidRPr="00F04905">
        <w:rPr>
          <w:rFonts w:ascii="Verdana" w:eastAsia="Verdana" w:hAnsi="Verdana" w:cs="Verdana"/>
        </w:rPr>
        <w:lastRenderedPageBreak/>
        <w:t>Concepto, tanto el Consejo de Estado como la Corte Constitucional han establecido en su jurisprudencia, que la aplicación e interpretación de las inhabilidades es de carácter restrictivo, con exclusión de interpretaciones analógicas o extensivas, situación que evidentemente se hizo en los conceptos anteriores, emitidos por esta Oficina cuando interpretó la palabra “director” en el artículo 79 de la Ley 489 de 1998 como Director Regional del ICBF.</w:t>
      </w:r>
    </w:p>
    <w:p w14:paraId="2A9EAB1A"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ese orden de ideas, el actual concepto jurídico, emitido por esta Oficina, tiene un carácter vinculante para todas las dependencias internas del ICBF, y constituye una postura jurídica para casos similares que se llegaren a presentar respecto del régimen de inhabilidades e incompatibilidades y prohibiciones aplicable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w:t>
      </w:r>
    </w:p>
    <w:p w14:paraId="2416CACE"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3. CASO CONCRETO</w:t>
      </w:r>
    </w:p>
    <w:p w14:paraId="196F09D2"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Teniendo en cuenta las generalidades expuestas anteriormente, esta Oficina procede a dar respuesta a cada una de las inquietudes planteadas en la solicitud, así:</w:t>
      </w:r>
    </w:p>
    <w:p w14:paraId="53D86D9E" w14:textId="7DA7567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Un aspirante al cargo de Director Regional del ICBF que en la actualidad está desempeñando un cargo de Director Regional de otro establecimiento público del orden nacional en el mismo departamento, a la luz de los argumentos señalados en el presente Concepto, solamente le aplica el régimen de inhabilidades, incompatibilidades y prohibiciones comunes a todos los servidores públicos, es decir, aquellos consagrados en los artículos 122, 126 y 128 de la Constitución Política, las establecidas en el artículo 38 de la Ley 734 de 2002 y el artículo 8 de la Ley 80 de 1993, y demás normas relevantes sobre la materia, situación </w:t>
      </w:r>
      <w:proofErr w:type="spellStart"/>
      <w:r w:rsidRPr="00F04905">
        <w:rPr>
          <w:rFonts w:ascii="Verdana" w:eastAsia="Verdana" w:hAnsi="Verdana" w:cs="Verdana"/>
        </w:rPr>
        <w:t>esta</w:t>
      </w:r>
      <w:proofErr w:type="spellEnd"/>
      <w:r w:rsidRPr="00F04905">
        <w:rPr>
          <w:rFonts w:ascii="Verdana" w:eastAsia="Verdana" w:hAnsi="Verdana" w:cs="Verdana"/>
        </w:rPr>
        <w:t xml:space="preserve"> que deberá corroborar la Dirección de Gestión Humana del Instituto.</w:t>
      </w:r>
    </w:p>
    <w:p w14:paraId="30F2264F"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En ese orden de ideas, y con el fin de dar respuesta a la pregunta del Memorando con Radicado 128743, donde la Dirección de Gestión Humana pregunta a esta </w:t>
      </w:r>
      <w:r w:rsidRPr="00F04905">
        <w:rPr>
          <w:rFonts w:ascii="Verdana" w:eastAsia="Verdana" w:hAnsi="Verdana" w:cs="Verdana"/>
        </w:rPr>
        <w:lastRenderedPageBreak/>
        <w:t>Oficina que determine si como Director Regional de otra entidad pública del orden nacional, el aspirante al cargo de Director Regional del ICBF, dentro del mismo departamento se encuentra incurso en inhabilidad, esta oficina, teniendo en cuenta los argumentos señalados en el presente Concepto, concluye que al aspirante no se le aplica el régimen de inhabilidades e incompatibilidades del Director General del ICBF ni mucho menos la de los Congresistas.</w:t>
      </w:r>
    </w:p>
    <w:p w14:paraId="54B46B5B" w14:textId="77777777"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4. CONCLUSIONES Y RECOMENDACIONES</w:t>
      </w:r>
    </w:p>
    <w:p w14:paraId="288766EA"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 Las inhabilidades son condiciones o situaciones que impiden a una persona natural desempeñar ciertos cargos o funciones públicas en forma temporal o definitiva y responden a razones de conveniencia pública y de ética administrativa, las cuales se encuentran consagradas en la Constitución Política y en la Ley, lo que implica que su aplicación e interpretación sea restrictiva con exclusión de interpretaciones extensivas o analógicas.</w:t>
      </w:r>
    </w:p>
    <w:p w14:paraId="6D83E537" w14:textId="00155C0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Teniendo en cuenta la interpretación del artículo 79 de la Ley 489 de 1998, no es aplicable el régimen de inhabilidades e incompatibilidades de los Congresistas ni de los miembros de los consejos directivos, director, gerente o presidente de los establecimientos públicos a los gerentes seccionales o directores regionales de tales entidades públicas, siendo de aplicación exclusiva de los miembros del consejo directivo y del director general en el entendido que este es aquel que nombra el presidente como se dispone en el artículo que lo precede.</w:t>
      </w:r>
    </w:p>
    <w:p w14:paraId="77FD5062" w14:textId="09E8711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3. A la luz del nuevo ordenamiento constitucional, el artículo 39 del Decreto 334 de 1980, por el cual se aprueban los estatutos del Instituto Colombiano de Bienestar Familiar, no puede establecer, vía remisión, causales de inhabilidad, incompatibilidad o prohibiciones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Instituto Colombiano de Bienestar Familiar, toda vez que esta función le corresponde exclusivamente al constituyente y al legislador.</w:t>
      </w:r>
    </w:p>
    <w:p w14:paraId="4C01C4E6" w14:textId="480D3FAB"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 xml:space="preserve">4. Esta Oficina había considerado en conceptos emitidos con anterioridad, que la palabra “director” en el artículo 79 de la Ley 489 de 1998 se entendía también como </w:t>
      </w:r>
      <w:proofErr w:type="gramStart"/>
      <w:r w:rsidRPr="00F04905">
        <w:rPr>
          <w:rFonts w:ascii="Verdana" w:eastAsia="Verdana" w:hAnsi="Verdana" w:cs="Verdana"/>
        </w:rPr>
        <w:t>Director Regional</w:t>
      </w:r>
      <w:proofErr w:type="gramEnd"/>
      <w:r w:rsidRPr="00F04905">
        <w:rPr>
          <w:rFonts w:ascii="Verdana" w:eastAsia="Verdana" w:hAnsi="Verdana" w:cs="Verdana"/>
        </w:rPr>
        <w:t xml:space="preserve"> del ICBF y que por ende era extensivo el régimen de inhabilidades del </w:t>
      </w:r>
      <w:proofErr w:type="gramStart"/>
      <w:r w:rsidRPr="00F04905">
        <w:rPr>
          <w:rFonts w:ascii="Verdana" w:eastAsia="Verdana" w:hAnsi="Verdana" w:cs="Verdana"/>
        </w:rPr>
        <w:t>Director</w:t>
      </w:r>
      <w:proofErr w:type="gramEnd"/>
      <w:r w:rsidRPr="00F04905">
        <w:rPr>
          <w:rFonts w:ascii="Verdana" w:eastAsia="Verdana" w:hAnsi="Verdana" w:cs="Verdana"/>
        </w:rPr>
        <w:t xml:space="preserve"> general del Instituto a estos funcionarios. Sin embargo, a la luz del nuevo ordenamiento constitucional y teniendo en cuenta los reiterados pronunciamientos del Departamento Administrativo para la Función Pública sobre el análisis del régimen de inhabilidades e incompatibilidades de los Directores Regionales, y en consideración a que tanto el Consejo de Estado como la Corte Constitucional han establecido en su Jurisprudencia que la aplicación e interpretación de las inhabilidades es de carácter restrictivo, con exclusión de interpretaciones analógicas o extensivas, esta Oficina actualiza la postura en el sentido de que a los Directores Regionales les es aplicable el régimen de inhabilidades comunes a todos los servidores públicos de la rama ejecutiva, consagrado en el artículo 38 de la Ley 734 de 2002, del artículo 8 de la Ley 80 de 1993, al igual que en los artículos 122, 126 y 128 de la Constitución Política, entre otras normas expresas.</w:t>
      </w:r>
    </w:p>
    <w:p w14:paraId="7AEB8AC9" w14:textId="36EBCF7F"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5. A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del ICBF no les os aplicable él régimen disciplinario que consagra el artículo 79 de la Ley 489 de 1998 para los miembros de los Consejos Directivos y el director de los establecimientos públicos, ni mucho menos el régimen de inhabilidades de los congresistas establecido en el artículo 179 de la Constitución Política, toda vez que el legislador no ha establecido un régimen disciplinario especial o diferenciado para tales funcionarios públicos.</w:t>
      </w:r>
    </w:p>
    <w:p w14:paraId="39383C0D" w14:textId="0504EFD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La presente respuesta tiene naturaleza de concepto jurídico y constituye un criterio auxiliar de interpretación de conformidad con los establecido en los artículos 26 del Código Civil y 28 del Código de Procedimiento Administrativo y de lo Contencioso Administrativo, sustituido por el artículo 1</w:t>
      </w:r>
      <w:r w:rsidRPr="00F04905">
        <w:rPr>
          <w:rFonts w:ascii="Verdana" w:eastAsia="Verdana" w:hAnsi="Verdana" w:cs="Verdana"/>
          <w:vertAlign w:val="superscript"/>
        </w:rPr>
        <w:t>o</w:t>
      </w:r>
      <w:r w:rsidRPr="00F04905">
        <w:rPr>
          <w:rFonts w:ascii="Verdana" w:eastAsia="Verdana" w:hAnsi="Verdana" w:cs="Verdana"/>
        </w:rPr>
        <w:t xml:space="preserve"> de la Ley 1755 de 2015. No obstante lo anterior, tiene carácter vinculante para las dependencias internas del Instituto y terceros que colaboren en la prestación del servicio público o en el </w:t>
      </w:r>
      <w:r w:rsidRPr="00F04905">
        <w:rPr>
          <w:rFonts w:ascii="Verdana" w:eastAsia="Verdana" w:hAnsi="Verdana" w:cs="Verdana"/>
        </w:rPr>
        <w:lastRenderedPageBreak/>
        <w:t>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los numerales 8 y 15 del Artículo 6</w:t>
      </w:r>
      <w:r w:rsidRPr="00F04905">
        <w:rPr>
          <w:rFonts w:ascii="Verdana" w:eastAsia="Verdana" w:hAnsi="Verdana" w:cs="Verdana"/>
          <w:vertAlign w:val="superscript"/>
        </w:rPr>
        <w:t>o</w:t>
      </w:r>
      <w:r w:rsidRPr="00F04905">
        <w:rPr>
          <w:rFonts w:ascii="Verdana" w:eastAsia="Verdana" w:hAnsi="Verdana" w:cs="Verdana"/>
        </w:rPr>
        <w:t xml:space="preserve"> del Decreto 987 de 2012.</w:t>
      </w:r>
    </w:p>
    <w:p w14:paraId="3D64A27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Cordialmente,</w:t>
      </w:r>
    </w:p>
    <w:p w14:paraId="58B90CEA" w14:textId="77777777" w:rsidR="001C2CA3" w:rsidRPr="00F04905" w:rsidRDefault="00000000">
      <w:pPr>
        <w:spacing w:after="280" w:line="426" w:lineRule="auto"/>
        <w:jc w:val="center"/>
        <w:rPr>
          <w:rFonts w:ascii="Verdana" w:eastAsia="Verdana" w:hAnsi="Verdana" w:cs="Verdana"/>
          <w:b/>
          <w:bCs/>
        </w:rPr>
      </w:pPr>
      <w:r w:rsidRPr="00F04905">
        <w:rPr>
          <w:rFonts w:ascii="Verdana" w:eastAsia="Verdana" w:hAnsi="Verdana" w:cs="Verdana"/>
          <w:b/>
          <w:bCs/>
        </w:rPr>
        <w:t>MÓNICA ALEXANDRA CRUZ OMAÑA</w:t>
      </w:r>
    </w:p>
    <w:p w14:paraId="4E313F81" w14:textId="77777777" w:rsidR="001C2CA3" w:rsidRPr="00F04905" w:rsidRDefault="00000000">
      <w:pPr>
        <w:spacing w:after="280" w:line="426" w:lineRule="auto"/>
        <w:jc w:val="center"/>
        <w:rPr>
          <w:rFonts w:ascii="Verdana" w:eastAsia="Verdana" w:hAnsi="Verdana" w:cs="Verdana"/>
        </w:rPr>
      </w:pPr>
      <w:r w:rsidRPr="00F04905">
        <w:rPr>
          <w:rFonts w:ascii="Verdana" w:eastAsia="Verdana" w:hAnsi="Verdana" w:cs="Verdana"/>
        </w:rPr>
        <w:t>Jefe Oficina Asesora Jurídica (E)</w:t>
      </w:r>
    </w:p>
    <w:p w14:paraId="525E112D" w14:textId="52642C9F" w:rsidR="001C2CA3" w:rsidRPr="00F04905" w:rsidRDefault="00000000">
      <w:pPr>
        <w:spacing w:after="280" w:line="426" w:lineRule="auto"/>
        <w:jc w:val="both"/>
        <w:rPr>
          <w:rFonts w:ascii="Verdana" w:eastAsia="Verdana" w:hAnsi="Verdana" w:cs="Verdana"/>
          <w:b/>
          <w:bCs/>
        </w:rPr>
      </w:pPr>
      <w:r w:rsidRPr="00F04905">
        <w:rPr>
          <w:rFonts w:ascii="Verdana" w:eastAsia="Verdana" w:hAnsi="Verdana" w:cs="Verdana"/>
          <w:b/>
          <w:bCs/>
        </w:rPr>
        <w:t>NOTAS DE PIE DE PÁGINA</w:t>
      </w:r>
    </w:p>
    <w:p w14:paraId="7DC5D8F7"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 Corte Suprema de Justicia. Sentencia del 9 de junio de 1988. (MP Fabio Morón Díaz).</w:t>
      </w:r>
    </w:p>
    <w:p w14:paraId="2A2171F8"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 Corte Constitucional. Sentencia C - 500 de 2014 (MP Mauricio González Cuervo)</w:t>
      </w:r>
    </w:p>
    <w:p w14:paraId="601E02D8"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3. Ídem.</w:t>
      </w:r>
    </w:p>
    <w:p w14:paraId="7A600ACE"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4. Corte Constitucional, Sentencia C-546 de 1993. (MP. Carlos Gaviria Díaz).</w:t>
      </w:r>
    </w:p>
    <w:p w14:paraId="518B881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lang w:val="pt-PT"/>
        </w:rPr>
        <w:t xml:space="preserve">5. Corte Constitucional. </w:t>
      </w:r>
      <w:r w:rsidRPr="00F04905">
        <w:rPr>
          <w:rFonts w:ascii="Verdana" w:eastAsia="Verdana" w:hAnsi="Verdana" w:cs="Verdana"/>
        </w:rPr>
        <w:t>Sentencia C- 329 de Julio 27 de 1995, (MP. Vladimiro Naranjo Mesa).</w:t>
      </w:r>
    </w:p>
    <w:p w14:paraId="70F06238"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6. Al respecto se puede consultar: AYALA CALDAS, JORGE ENRIQUE (2002) Aplicación del Derecho Administrativo en Colombia. Ediciones Doctrina y Ley. Bogotá.</w:t>
      </w:r>
    </w:p>
    <w:p w14:paraId="50F50151"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rPr>
        <w:t xml:space="preserve">7. Corte Constitucional, Sentencia C - 544 de 2005. </w:t>
      </w:r>
      <w:r w:rsidRPr="00F04905">
        <w:rPr>
          <w:rFonts w:ascii="Verdana" w:eastAsia="Verdana" w:hAnsi="Verdana" w:cs="Verdana"/>
          <w:lang w:val="pt-PT"/>
        </w:rPr>
        <w:t>(MP. Marco Gerardo Monroy Cabra).</w:t>
      </w:r>
    </w:p>
    <w:p w14:paraId="62406DBF"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8. ídem.</w:t>
      </w:r>
    </w:p>
    <w:p w14:paraId="5CBF12C0"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lastRenderedPageBreak/>
        <w:t>9. Corte Constitucional. Sentencia C- 546 de 1993. (MP. Carlos Gaviria Díaz).</w:t>
      </w:r>
    </w:p>
    <w:p w14:paraId="293F2BD7"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10. Corte Constitucional. Sentencia C-546 de 1993. (MP Carlos Gaviria Díaz).</w:t>
      </w:r>
    </w:p>
    <w:p w14:paraId="778193A5"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11. Corte Constitucional. Sentencia C-903 de 2008. (MP. Jaime Araujo Rentería).</w:t>
      </w:r>
    </w:p>
    <w:p w14:paraId="410A1827"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12. Consejo de Estado. Sentencia No. 11001-03-15-000-2012-00059-00. (MP. María Claudia Rojas Lasso).</w:t>
      </w:r>
    </w:p>
    <w:p w14:paraId="3B4D69B5"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lang w:val="pt-PT"/>
        </w:rPr>
        <w:t xml:space="preserve">13. Sentencia C-257 de 2013. </w:t>
      </w:r>
      <w:r w:rsidRPr="00F04905">
        <w:rPr>
          <w:rFonts w:ascii="Verdana" w:eastAsia="Verdana" w:hAnsi="Verdana" w:cs="Verdana"/>
        </w:rPr>
        <w:t>(MP. Jaime Córdoba Triviño).</w:t>
      </w:r>
    </w:p>
    <w:p w14:paraId="23DD20EB" w14:textId="3E49D406"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14. Ley 489 de 1998. Artículo 69.</w:t>
      </w:r>
    </w:p>
    <w:p w14:paraId="75449AE1" w14:textId="04534A0F"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15. Ley 489 de 1998. Artículo 70.</w:t>
      </w:r>
    </w:p>
    <w:p w14:paraId="63F69CD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16. Sentencia C-561 de 1999. (MP. Alfredo 8eltrán Sierra).</w:t>
      </w:r>
    </w:p>
    <w:p w14:paraId="06EB4ADC" w14:textId="364F4C93"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17. Sentencia C-054 de 2016. (MP Luís Ernesto Vargas Silva), “En efecto, el método sistemático apela a encontrar el sentido de las disposiciones a partir de la comparación con otras normas que pertenecen al orden jurídico legal y que guardan relación con aquella.”</w:t>
      </w:r>
    </w:p>
    <w:p w14:paraId="0BA3853C"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18. Consejo de Estado. Sala de lo Contencioso Administrativo. Sección Primera, </w:t>
      </w:r>
      <w:proofErr w:type="gramStart"/>
      <w:r w:rsidRPr="00F04905">
        <w:rPr>
          <w:rFonts w:ascii="Verdana" w:eastAsia="Verdana" w:hAnsi="Verdana" w:cs="Verdana"/>
        </w:rPr>
        <w:t>Consejero</w:t>
      </w:r>
      <w:proofErr w:type="gramEnd"/>
      <w:r w:rsidRPr="00F04905">
        <w:rPr>
          <w:rFonts w:ascii="Verdana" w:eastAsia="Verdana" w:hAnsi="Verdana" w:cs="Verdana"/>
        </w:rPr>
        <w:t xml:space="preserve"> Ponente; Gabriel Eduardo Mendoza Martelo. Radicación número: 50001-23-31 -000-2004-0008-01 (PI)</w:t>
      </w:r>
    </w:p>
    <w:p w14:paraId="1B3B01D3"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19. Corte Constitucional. Sentencia C-571 de 2004. (MP. Rodrigo Escobar Gil).</w:t>
      </w:r>
    </w:p>
    <w:p w14:paraId="41C1C9E1"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lang w:val="pt-PT"/>
        </w:rPr>
        <w:t xml:space="preserve">20. Corte Constitucional Sentencia C-415/12. </w:t>
      </w:r>
      <w:r w:rsidRPr="00F04905">
        <w:rPr>
          <w:rFonts w:ascii="Verdana" w:eastAsia="Verdana" w:hAnsi="Verdana" w:cs="Verdana"/>
        </w:rPr>
        <w:t>(MP. Mauricio González Cuervo).</w:t>
      </w:r>
    </w:p>
    <w:p w14:paraId="426A887E"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21. Sentencia C-484 de 1995. (MP. Fabio Morón Díaz).</w:t>
      </w:r>
    </w:p>
    <w:p w14:paraId="0C0315C1" w14:textId="7D5DC98F"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22. Decreto Derogado por la Ley 489 de 1998, la cual también establece que el funcionamiento de los Establecimientos Públicos estará regulado por sus estatutos internos.</w:t>
      </w:r>
    </w:p>
    <w:p w14:paraId="6D6647A1"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lastRenderedPageBreak/>
        <w:t>23. Sentencia C-195 de 1994. (MP. Vladimiro Naranjo Mesa).</w:t>
      </w:r>
    </w:p>
    <w:p w14:paraId="07D6E660"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24. Consejo de Estado, Sala de Consulta y Servicio Civil – Providencia del 5 de julio de 2007 - Rad. 2007 – 00046-00 (1831) - </w:t>
      </w:r>
      <w:proofErr w:type="gramStart"/>
      <w:r w:rsidRPr="00F04905">
        <w:rPr>
          <w:rFonts w:ascii="Verdana" w:eastAsia="Verdana" w:hAnsi="Verdana" w:cs="Verdana"/>
        </w:rPr>
        <w:t>Consejero</w:t>
      </w:r>
      <w:proofErr w:type="gramEnd"/>
      <w:r w:rsidRPr="00F04905">
        <w:rPr>
          <w:rFonts w:ascii="Verdana" w:eastAsia="Verdana" w:hAnsi="Verdana" w:cs="Verdana"/>
        </w:rPr>
        <w:t xml:space="preserve"> Ponente Gustavo Aponte Santos</w:t>
      </w:r>
    </w:p>
    <w:p w14:paraId="5A50A027"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25. Consejo de Estado, Sala de Consulta y Servicio Civil - Concepto 2355 del 5 de diciembre de 2017 - Rad. 2017 - 00186-00 - </w:t>
      </w:r>
      <w:proofErr w:type="gramStart"/>
      <w:r w:rsidRPr="00F04905">
        <w:rPr>
          <w:rFonts w:ascii="Verdana" w:eastAsia="Verdana" w:hAnsi="Verdana" w:cs="Verdana"/>
        </w:rPr>
        <w:t>Consejero</w:t>
      </w:r>
      <w:proofErr w:type="gramEnd"/>
      <w:r w:rsidRPr="00F04905">
        <w:rPr>
          <w:rFonts w:ascii="Verdana" w:eastAsia="Verdana" w:hAnsi="Verdana" w:cs="Verdana"/>
        </w:rPr>
        <w:t xml:space="preserve"> Ponente Edgar González López</w:t>
      </w:r>
    </w:p>
    <w:p w14:paraId="621CE99C"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26. Consejo de Estado, Sala de Consulta y Servicio Civil - Concepto del 5 de noviembre de 1991 - Rad 413 - </w:t>
      </w:r>
      <w:proofErr w:type="gramStart"/>
      <w:r w:rsidRPr="00F04905">
        <w:rPr>
          <w:rFonts w:ascii="Verdana" w:eastAsia="Verdana" w:hAnsi="Verdana" w:cs="Verdana"/>
        </w:rPr>
        <w:t>Consejero</w:t>
      </w:r>
      <w:proofErr w:type="gramEnd"/>
      <w:r w:rsidRPr="00F04905">
        <w:rPr>
          <w:rFonts w:ascii="Verdana" w:eastAsia="Verdana" w:hAnsi="Verdana" w:cs="Verdana"/>
        </w:rPr>
        <w:t xml:space="preserve"> Ponente Humberto Mora Usejo.</w:t>
      </w:r>
    </w:p>
    <w:p w14:paraId="0A3ADFAA" w14:textId="77777777" w:rsidR="001C2CA3" w:rsidRPr="00F04905" w:rsidRDefault="00000000">
      <w:pPr>
        <w:spacing w:after="280" w:line="426" w:lineRule="auto"/>
        <w:jc w:val="both"/>
        <w:rPr>
          <w:rFonts w:ascii="Verdana" w:eastAsia="Verdana" w:hAnsi="Verdana" w:cs="Verdana"/>
          <w:lang w:val="pt-PT"/>
        </w:rPr>
      </w:pPr>
      <w:r w:rsidRPr="00F04905">
        <w:rPr>
          <w:rFonts w:ascii="Verdana" w:eastAsia="Verdana" w:hAnsi="Verdana" w:cs="Verdana"/>
          <w:lang w:val="pt-PT"/>
        </w:rPr>
        <w:t>27. Corte Constitucional. Sentencia T-292 de 2006. MP. Manuel Josa Cepeda Espinoza</w:t>
      </w:r>
    </w:p>
    <w:p w14:paraId="0FA33602"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28. Ley 119 de 1994, ARTÍCULO 20. Directores Regionales. Las regionales estarán administradas por un </w:t>
      </w:r>
      <w:proofErr w:type="gramStart"/>
      <w:r w:rsidRPr="00F04905">
        <w:rPr>
          <w:rFonts w:ascii="Verdana" w:eastAsia="Verdana" w:hAnsi="Verdana" w:cs="Verdana"/>
        </w:rPr>
        <w:t>Director Regional</w:t>
      </w:r>
      <w:proofErr w:type="gramEnd"/>
      <w:r w:rsidRPr="00F04905">
        <w:rPr>
          <w:rFonts w:ascii="Verdana" w:eastAsia="Verdana" w:hAnsi="Verdana" w:cs="Verdana"/>
        </w:rPr>
        <w:t xml:space="preserve">, que será representante del </w:t>
      </w:r>
      <w:proofErr w:type="gramStart"/>
      <w:r w:rsidRPr="00F04905">
        <w:rPr>
          <w:rFonts w:ascii="Verdana" w:eastAsia="Verdana" w:hAnsi="Verdana" w:cs="Verdana"/>
        </w:rPr>
        <w:t>Director General</w:t>
      </w:r>
      <w:proofErr w:type="gramEnd"/>
      <w:r w:rsidRPr="00F04905">
        <w:rPr>
          <w:rFonts w:ascii="Verdana" w:eastAsia="Verdana" w:hAnsi="Verdana" w:cs="Verdana"/>
        </w:rPr>
        <w:t>, de su libre nombramiento y remoción, y tendré la responsabilidad de coordinar, administrar y velar por la ejecución de las actividades del SENA dentro de su jurisdicción.</w:t>
      </w:r>
    </w:p>
    <w:p w14:paraId="035B958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ARTÍCULO 21. Selección y requisitos de tos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Los </w:t>
      </w:r>
      <w:proofErr w:type="gramStart"/>
      <w:r w:rsidRPr="00F04905">
        <w:rPr>
          <w:rFonts w:ascii="Verdana" w:eastAsia="Verdana" w:hAnsi="Verdana" w:cs="Verdana"/>
        </w:rPr>
        <w:t>Directores Regionales</w:t>
      </w:r>
      <w:proofErr w:type="gramEnd"/>
      <w:r w:rsidRPr="00F04905">
        <w:rPr>
          <w:rFonts w:ascii="Verdana" w:eastAsia="Verdana" w:hAnsi="Verdana" w:cs="Verdana"/>
        </w:rPr>
        <w:t xml:space="preserve"> serán seleccionados de ternas que le presenten al </w:t>
      </w:r>
      <w:proofErr w:type="gramStart"/>
      <w:r w:rsidRPr="00F04905">
        <w:rPr>
          <w:rFonts w:ascii="Verdana" w:eastAsia="Verdana" w:hAnsi="Verdana" w:cs="Verdana"/>
        </w:rPr>
        <w:t>Director General</w:t>
      </w:r>
      <w:proofErr w:type="gramEnd"/>
      <w:r w:rsidRPr="00F04905">
        <w:rPr>
          <w:rFonts w:ascii="Verdana" w:eastAsia="Verdana" w:hAnsi="Verdana" w:cs="Verdana"/>
        </w:rPr>
        <w:t>, los Consejos Regionales respectivos.</w:t>
      </w:r>
    </w:p>
    <w:p w14:paraId="6B839190"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 xml:space="preserve">Para ser nombrado </w:t>
      </w:r>
      <w:proofErr w:type="gramStart"/>
      <w:r w:rsidRPr="00F04905">
        <w:rPr>
          <w:rFonts w:ascii="Verdana" w:eastAsia="Verdana" w:hAnsi="Verdana" w:cs="Verdana"/>
        </w:rPr>
        <w:t>Director</w:t>
      </w:r>
      <w:proofErr w:type="gramEnd"/>
      <w:r w:rsidRPr="00F04905">
        <w:rPr>
          <w:rFonts w:ascii="Verdana" w:eastAsia="Verdana" w:hAnsi="Verdana" w:cs="Verdana"/>
        </w:rPr>
        <w:t xml:space="preserve"> regional, se requiere poseer título profesional universitario, acreditar una experiencia mínima de tres (3) años en cargos de nivel directivo, en áreas relacionadas con la gerencia administrativa, educativa, de formación profesional o desarrollo tecnológico y estar vinculado a la región.</w:t>
      </w:r>
    </w:p>
    <w:p w14:paraId="31742C63" w14:textId="73A1E115"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29. Constitución Política de Colombia, Artículo 305, Son atribuciones del gobernador:</w:t>
      </w:r>
    </w:p>
    <w:p w14:paraId="50D79B2B"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lastRenderedPageBreak/>
        <w:t>(…)</w:t>
      </w:r>
    </w:p>
    <w:p w14:paraId="7A68AC37"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13. Escoger de las ternas enviadas por el jefe nacional respectivo, los gerentes a jefes seccionales de los establecimientos públicos del orden nacional que operen en el departamento, de acuerdo con la ley.</w:t>
      </w:r>
    </w:p>
    <w:p w14:paraId="1CA3B3E4" w14:textId="03C7B9FD"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30. Constitución Política de Colombia. Artículo 287. Las entidades territoriales gozan de autonomía para la gestión de sus intereses, y dentro de los límites de la Constitución y la ley. En tal virtud tendrán los siguientes derechos:</w:t>
      </w:r>
    </w:p>
    <w:p w14:paraId="4F38F9AF"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w:t>
      </w:r>
    </w:p>
    <w:p w14:paraId="57CF8FD4"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2. Ejercer las competencias que les correspondan.</w:t>
      </w:r>
    </w:p>
    <w:p w14:paraId="50CDAF60" w14:textId="346B83F1" w:rsidR="001C2CA3" w:rsidRPr="00F04905" w:rsidRDefault="00000000">
      <w:pPr>
        <w:spacing w:after="280" w:line="426" w:lineRule="auto"/>
        <w:jc w:val="both"/>
        <w:rPr>
          <w:rFonts w:ascii="Verdana" w:eastAsia="Verdana" w:hAnsi="Verdana" w:cs="Verdana"/>
          <w:lang w:val="it-IT"/>
        </w:rPr>
      </w:pPr>
      <w:r w:rsidRPr="00F04905">
        <w:rPr>
          <w:rFonts w:ascii="Verdana" w:eastAsia="Verdana" w:hAnsi="Verdana" w:cs="Verdana"/>
          <w:lang w:val="pt-PT"/>
        </w:rPr>
        <w:t xml:space="preserve">31. Corte Constitucional. Sentencia C-542 de 2005. </w:t>
      </w:r>
      <w:r w:rsidRPr="00F04905">
        <w:rPr>
          <w:rFonts w:ascii="Verdana" w:eastAsia="Verdana" w:hAnsi="Verdana" w:cs="Verdana"/>
          <w:lang w:val="it-IT"/>
        </w:rPr>
        <w:t>(MP Humberto Antonio Sierra Porto).</w:t>
      </w:r>
    </w:p>
    <w:p w14:paraId="7DCDDD46" w14:textId="77777777" w:rsidR="001C2CA3" w:rsidRPr="00F04905" w:rsidRDefault="00000000">
      <w:pPr>
        <w:spacing w:after="280" w:line="426" w:lineRule="auto"/>
        <w:jc w:val="both"/>
        <w:rPr>
          <w:rFonts w:ascii="Verdana" w:eastAsia="Verdana" w:hAnsi="Verdana" w:cs="Verdana"/>
        </w:rPr>
      </w:pPr>
      <w:r w:rsidRPr="00F04905">
        <w:rPr>
          <w:rFonts w:ascii="Verdana" w:eastAsia="Verdana" w:hAnsi="Verdana" w:cs="Verdana"/>
        </w:rPr>
        <w:t>32. ídem.</w:t>
      </w:r>
    </w:p>
    <w:p w14:paraId="5DAEB9BE" w14:textId="77777777" w:rsidR="001C2CA3" w:rsidRPr="00F04905" w:rsidRDefault="001C2CA3">
      <w:pPr>
        <w:rPr>
          <w:rFonts w:ascii="Verdana" w:eastAsia="Verdana" w:hAnsi="Verdana" w:cs="Verdana"/>
        </w:rPr>
      </w:pPr>
    </w:p>
    <w:sectPr w:rsidR="001C2CA3" w:rsidRPr="00F0490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935589A-419A-4E88-8734-45183BD46D85}"/>
    <w:embedBold r:id="rId2" w:fontKey="{1FA2B898-8CE1-49BA-91ED-7CEA17829B5D}"/>
  </w:font>
  <w:font w:name="Calibri">
    <w:panose1 w:val="020F0502020204030204"/>
    <w:charset w:val="00"/>
    <w:family w:val="swiss"/>
    <w:pitch w:val="variable"/>
    <w:sig w:usb0="E4002EFF" w:usb1="C200247B" w:usb2="00000009" w:usb3="00000000" w:csb0="000001FF" w:csb1="00000000"/>
    <w:embedRegular r:id="rId3" w:fontKey="{DFC3F089-205B-42F7-B88A-3C1054694D7B}"/>
  </w:font>
  <w:font w:name="Cambria">
    <w:panose1 w:val="02040503050406030204"/>
    <w:charset w:val="00"/>
    <w:family w:val="roman"/>
    <w:pitch w:val="variable"/>
    <w:sig w:usb0="E00006FF" w:usb1="420024FF" w:usb2="02000000" w:usb3="00000000" w:csb0="0000019F" w:csb1="00000000"/>
    <w:embedRegular r:id="rId4" w:fontKey="{A0475C14-B3C8-4B0A-B758-E62AF5AF7C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CA3"/>
    <w:rsid w:val="001C2CA3"/>
    <w:rsid w:val="004E1554"/>
    <w:rsid w:val="00955FC6"/>
    <w:rsid w:val="00F04905"/>
    <w:rsid w:val="00F631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43B1"/>
  <w15:docId w15:val="{0FF7C215-CE1B-4651-B007-42529678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B6AE56-46D2-4FEF-BAAF-253588687896}"/>
</file>

<file path=customXml/itemProps2.xml><?xml version="1.0" encoding="utf-8"?>
<ds:datastoreItem xmlns:ds="http://schemas.openxmlformats.org/officeDocument/2006/customXml" ds:itemID="{13D920E9-37C4-48F8-8309-7C51417C05D9}"/>
</file>

<file path=customXml/itemProps3.xml><?xml version="1.0" encoding="utf-8"?>
<ds:datastoreItem xmlns:ds="http://schemas.openxmlformats.org/officeDocument/2006/customXml" ds:itemID="{2F6D91BF-1C80-4A49-949C-68064C80401A}"/>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10068</Words>
  <Characters>55378</Characters>
  <Application>Microsoft Office Word</Application>
  <DocSecurity>0</DocSecurity>
  <Lines>461</Lines>
  <Paragraphs>130</Paragraphs>
  <ScaleCrop>false</ScaleCrop>
  <Company/>
  <LinksUpToDate>false</LinksUpToDate>
  <CharactersWithSpaces>65316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2026-04-24T17:47:00Z</dcterms:created>
  <dcterms:modified xsi:type="dcterms:W3CDTF">2026-04-28T20:42:00Z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