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157FB" w14:textId="77777777" w:rsidR="003F1B5F" w:rsidRPr="00A05269" w:rsidRDefault="003F1B5F" w:rsidP="003F1B5F">
      <w:pPr>
        <w:jc w:val="center"/>
        <w:rPr>
          <w:rFonts w:ascii="Verdana" w:hAnsi="Verdana"/>
          <w:b/>
          <w:bCs/>
        </w:rPr>
      </w:pPr>
      <w:r w:rsidRPr="00A05269">
        <w:rPr>
          <w:rFonts w:ascii="Verdana" w:hAnsi="Verdana"/>
          <w:b/>
          <w:bCs/>
        </w:rPr>
        <w:t>CONCEPTO 77 DE 2014</w:t>
      </w:r>
    </w:p>
    <w:p w14:paraId="0F892AD4" w14:textId="77777777" w:rsidR="003F1B5F" w:rsidRPr="00A05269" w:rsidRDefault="003F1B5F" w:rsidP="003F1B5F">
      <w:pPr>
        <w:jc w:val="center"/>
        <w:rPr>
          <w:rFonts w:ascii="Verdana" w:hAnsi="Verdana"/>
        </w:rPr>
      </w:pPr>
      <w:r w:rsidRPr="00A05269">
        <w:rPr>
          <w:rFonts w:ascii="Verdana" w:hAnsi="Verdana"/>
        </w:rPr>
        <w:t xml:space="preserve">(9 de </w:t>
      </w:r>
      <w:proofErr w:type="gramStart"/>
      <w:r w:rsidRPr="00A05269">
        <w:rPr>
          <w:rFonts w:ascii="Verdana" w:hAnsi="Verdana"/>
        </w:rPr>
        <w:t>Junio</w:t>
      </w:r>
      <w:proofErr w:type="gramEnd"/>
      <w:r w:rsidRPr="00A05269">
        <w:rPr>
          <w:rFonts w:ascii="Verdana" w:hAnsi="Verdana"/>
        </w:rPr>
        <w:t>)</w:t>
      </w:r>
    </w:p>
    <w:p w14:paraId="1C3CB70C" w14:textId="77777777" w:rsidR="003F1B5F" w:rsidRPr="00A05269" w:rsidRDefault="003F1B5F" w:rsidP="003F1B5F">
      <w:pPr>
        <w:jc w:val="center"/>
        <w:rPr>
          <w:rFonts w:ascii="Verdana" w:hAnsi="Verdana"/>
          <w:b/>
          <w:bCs/>
        </w:rPr>
      </w:pPr>
      <w:r w:rsidRPr="00A05269">
        <w:rPr>
          <w:rFonts w:ascii="Verdana" w:hAnsi="Verdana"/>
          <w:b/>
          <w:bCs/>
        </w:rPr>
        <w:t>INSTITUTO COLOMBIANO DE BIENESTAR FAMILIAR – ICBF</w:t>
      </w:r>
    </w:p>
    <w:p w14:paraId="208CF8D6" w14:textId="77777777" w:rsidR="003F1B5F" w:rsidRPr="00A05269" w:rsidRDefault="003F1B5F" w:rsidP="003F1B5F">
      <w:pPr>
        <w:jc w:val="both"/>
        <w:rPr>
          <w:rFonts w:ascii="Verdana" w:hAnsi="Verdana"/>
        </w:rPr>
      </w:pPr>
      <w:r w:rsidRPr="00A05269">
        <w:rPr>
          <w:rFonts w:ascii="Verdana" w:hAnsi="Verdana"/>
          <w:b/>
          <w:bCs/>
        </w:rPr>
        <w:t>Para:</w:t>
      </w:r>
      <w:r w:rsidRPr="00A05269">
        <w:rPr>
          <w:rFonts w:ascii="Verdana" w:hAnsi="Verdana"/>
        </w:rPr>
        <w:tab/>
        <w:t>Coordinador Jurídico de la Regional ICBF Caquetá</w:t>
      </w:r>
    </w:p>
    <w:p w14:paraId="5B32E6BC" w14:textId="77777777" w:rsidR="003F1B5F" w:rsidRPr="00A05269" w:rsidRDefault="003F1B5F" w:rsidP="003F1B5F">
      <w:pPr>
        <w:jc w:val="both"/>
        <w:rPr>
          <w:rFonts w:ascii="Verdana" w:hAnsi="Verdana"/>
        </w:rPr>
      </w:pPr>
      <w:r w:rsidRPr="00A05269">
        <w:rPr>
          <w:rFonts w:ascii="Verdana" w:hAnsi="Verdana"/>
          <w:b/>
          <w:bCs/>
        </w:rPr>
        <w:t>Asunto:</w:t>
      </w:r>
      <w:r w:rsidRPr="00A05269">
        <w:rPr>
          <w:rFonts w:ascii="Verdana" w:hAnsi="Verdana"/>
        </w:rPr>
        <w:tab/>
        <w:t>Respuesta solicitud de concepto jurídico.</w:t>
      </w:r>
    </w:p>
    <w:p w14:paraId="4ACA8E97" w14:textId="77777777" w:rsidR="003F1B5F" w:rsidRPr="00A05269" w:rsidRDefault="003F1B5F" w:rsidP="003F1B5F">
      <w:pPr>
        <w:jc w:val="both"/>
        <w:rPr>
          <w:rFonts w:ascii="Verdana" w:hAnsi="Verdana"/>
        </w:rPr>
      </w:pPr>
      <w:r w:rsidRPr="00A05269">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57CD1DF5" w14:textId="77777777" w:rsidR="003F1B5F" w:rsidRPr="00A05269" w:rsidRDefault="003F1B5F" w:rsidP="003F1B5F">
      <w:pPr>
        <w:jc w:val="both"/>
        <w:rPr>
          <w:rFonts w:ascii="Verdana" w:hAnsi="Verdana"/>
          <w:b/>
          <w:bCs/>
        </w:rPr>
      </w:pPr>
      <w:r w:rsidRPr="00A05269">
        <w:rPr>
          <w:rFonts w:ascii="Verdana" w:hAnsi="Verdana"/>
          <w:b/>
          <w:bCs/>
        </w:rPr>
        <w:t>1. PROBLEMA JURÍDICO</w:t>
      </w:r>
    </w:p>
    <w:p w14:paraId="73031771" w14:textId="77777777" w:rsidR="003F1B5F" w:rsidRPr="00A05269" w:rsidRDefault="003F1B5F" w:rsidP="003F1B5F">
      <w:pPr>
        <w:jc w:val="both"/>
        <w:rPr>
          <w:rFonts w:ascii="Verdana" w:hAnsi="Verdana"/>
        </w:rPr>
      </w:pPr>
      <w:r w:rsidRPr="00A05269">
        <w:rPr>
          <w:rFonts w:ascii="Verdana" w:hAnsi="Verdana"/>
        </w:rPr>
        <w:t>¿Es procedente la acumulación de un Proceso Administrativo de Restablecimiento de Derechos en una misma autoridad administrativa cuando los menores de edad a quienes se les han vulnerado los derechos son hermanos?</w:t>
      </w:r>
    </w:p>
    <w:p w14:paraId="58A74947" w14:textId="77777777" w:rsidR="003F1B5F" w:rsidRPr="00A05269" w:rsidRDefault="003F1B5F" w:rsidP="003F1B5F">
      <w:pPr>
        <w:jc w:val="both"/>
        <w:rPr>
          <w:rFonts w:ascii="Verdana" w:hAnsi="Verdana"/>
          <w:b/>
          <w:bCs/>
        </w:rPr>
      </w:pPr>
      <w:r w:rsidRPr="00A05269">
        <w:rPr>
          <w:rFonts w:ascii="Verdana" w:hAnsi="Verdana"/>
          <w:b/>
          <w:bCs/>
        </w:rPr>
        <w:t>2. ANÁLISIS DEL PROBLEMA JURÍDICO</w:t>
      </w:r>
    </w:p>
    <w:p w14:paraId="24B3131E" w14:textId="77777777" w:rsidR="003F1B5F" w:rsidRPr="00A05269" w:rsidRDefault="003F1B5F" w:rsidP="003F1B5F">
      <w:pPr>
        <w:jc w:val="both"/>
        <w:rPr>
          <w:rFonts w:ascii="Verdana" w:hAnsi="Verdana"/>
        </w:rPr>
      </w:pPr>
      <w:r w:rsidRPr="00A05269">
        <w:rPr>
          <w:rFonts w:ascii="Verdana" w:hAnsi="Verdana"/>
        </w:rPr>
        <w:t xml:space="preserve">Se </w:t>
      </w:r>
      <w:proofErr w:type="gramStart"/>
      <w:r w:rsidRPr="00A05269">
        <w:rPr>
          <w:rFonts w:ascii="Verdana" w:hAnsi="Verdana"/>
        </w:rPr>
        <w:t>abordara</w:t>
      </w:r>
      <w:proofErr w:type="gramEnd"/>
      <w:r w:rsidRPr="00A05269">
        <w:rPr>
          <w:rFonts w:ascii="Verdana" w:hAnsi="Verdana"/>
        </w:rPr>
        <w:t xml:space="preserve"> el tema analizando: 2.1 El Proceso Administrativo de Restablecimiento de Derechos. 2.2. Naturaleza y funciones de la Defensoría de Familia. 2.3. Distribución funcional de las Defensorías de Familia. 2.4. La acumulación de procesos. 2.5. El caso en concreto.</w:t>
      </w:r>
    </w:p>
    <w:p w14:paraId="04F13613" w14:textId="77777777" w:rsidR="003F1B5F" w:rsidRPr="00A05269" w:rsidRDefault="003F1B5F" w:rsidP="003F1B5F">
      <w:pPr>
        <w:jc w:val="both"/>
        <w:rPr>
          <w:rFonts w:ascii="Verdana" w:hAnsi="Verdana"/>
        </w:rPr>
      </w:pPr>
      <w:r w:rsidRPr="00A05269">
        <w:rPr>
          <w:rFonts w:ascii="Verdana" w:hAnsi="Verdana"/>
        </w:rPr>
        <w:t>2.1 El Proceso Administrativo de Restablecimiento de Derechos</w:t>
      </w:r>
    </w:p>
    <w:p w14:paraId="34B43804" w14:textId="77777777" w:rsidR="003F1B5F" w:rsidRPr="00A05269" w:rsidRDefault="003F1B5F" w:rsidP="003F1B5F">
      <w:pPr>
        <w:jc w:val="both"/>
        <w:rPr>
          <w:rFonts w:ascii="Verdana" w:hAnsi="Verdana"/>
        </w:rPr>
      </w:pPr>
      <w:r w:rsidRPr="00A05269">
        <w:rPr>
          <w:rFonts w:ascii="Verdana" w:hAnsi="Verdana"/>
        </w:rPr>
        <w:t>La ley 1098 de 2006 contentiva del Código de la Infancia y la Adolescencia, en su artículo 2o, establece dentro de sus objetivos el señalamiento de las normas sustantivas y procesales tendientes a garantizar la protección integral de los niños y los adolescentes, así como el ejercicio de los derechos y libertades consagrados en los ordenamientos jurídicos tanto nacionales como internacionales.</w:t>
      </w:r>
    </w:p>
    <w:p w14:paraId="00D5C561" w14:textId="77777777" w:rsidR="003F1B5F" w:rsidRPr="00A05269" w:rsidRDefault="003F1B5F" w:rsidP="003F1B5F">
      <w:pPr>
        <w:jc w:val="both"/>
        <w:rPr>
          <w:rFonts w:ascii="Verdana" w:hAnsi="Verdana"/>
        </w:rPr>
      </w:pPr>
      <w:r w:rsidRPr="00A05269">
        <w:rPr>
          <w:rFonts w:ascii="Verdana" w:hAnsi="Verdana"/>
        </w:rPr>
        <w:t>Precisa igualmente el citado Código, que las normas en él contenidas que se refieran a los niños, las niñas y los adolescentes "son de orden público, de carácter irrenunciable y los principios y las reglas en ellas consagradas se aplicarán de preferencia a las disposiciones contenidas en otras leyes”.</w:t>
      </w:r>
    </w:p>
    <w:p w14:paraId="2401B823" w14:textId="77777777" w:rsidR="003F1B5F" w:rsidRPr="00A05269" w:rsidRDefault="003F1B5F" w:rsidP="003F1B5F">
      <w:pPr>
        <w:jc w:val="both"/>
        <w:rPr>
          <w:rFonts w:ascii="Verdana" w:hAnsi="Verdana"/>
        </w:rPr>
      </w:pPr>
      <w:r w:rsidRPr="00A05269">
        <w:rPr>
          <w:rFonts w:ascii="Verdana" w:hAnsi="Verdana"/>
        </w:rPr>
        <w:t xml:space="preserve">El Proceso Administrativo de Restablecimiento de los Derechos de los niños, las niñas y los adolescentes es “(…)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w:t>
      </w:r>
      <w:r w:rsidRPr="00A05269">
        <w:rPr>
          <w:rFonts w:ascii="Verdana" w:hAnsi="Verdana"/>
        </w:rPr>
        <w:lastRenderedPageBreak/>
        <w:t>principios de prevalencia, interés superior, perspectiva de género, exigibilidad de derechos, enfoque diferencial y corresponsabilidad de la familia, la sociedad y el Estado”.</w:t>
      </w:r>
    </w:p>
    <w:p w14:paraId="7101DC66" w14:textId="77777777" w:rsidR="003F1B5F" w:rsidRPr="00A05269" w:rsidRDefault="003F1B5F" w:rsidP="003F1B5F">
      <w:pPr>
        <w:jc w:val="both"/>
        <w:rPr>
          <w:rFonts w:ascii="Verdana" w:hAnsi="Verdana"/>
        </w:rPr>
      </w:pPr>
      <w:r w:rsidRPr="00A05269">
        <w:rPr>
          <w:rFonts w:ascii="Verdana" w:hAnsi="Verdana"/>
        </w:rPr>
        <w:t>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establezcan a los niños, las niñas y los adolescentes el ejercicio pleno y efectivo de sus derechos.</w:t>
      </w:r>
    </w:p>
    <w:p w14:paraId="6F71178C" w14:textId="77777777" w:rsidR="003F1B5F" w:rsidRPr="00A05269" w:rsidRDefault="003F1B5F" w:rsidP="003F1B5F">
      <w:pPr>
        <w:jc w:val="both"/>
        <w:rPr>
          <w:rFonts w:ascii="Verdana" w:hAnsi="Verdana"/>
        </w:rPr>
      </w:pPr>
      <w:r w:rsidRPr="00A05269">
        <w:rPr>
          <w:rFonts w:ascii="Verdana" w:hAnsi="Verdana"/>
        </w:rPr>
        <w:t>Finalmente, el artículo 100 del Código de la Infancia y la Adolescencia, establece que la actuación administrativa deberá resolverse dentro de los cuatro (4) meses siguientes a la fecha de la presentación de la solicitud o la apertura oficiosa de la investigación y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de dichas &lt;sic&gt; situación.</w:t>
      </w:r>
    </w:p>
    <w:p w14:paraId="60A13A09" w14:textId="77777777" w:rsidR="003F1B5F" w:rsidRPr="00A05269" w:rsidRDefault="003F1B5F" w:rsidP="003F1B5F">
      <w:pPr>
        <w:jc w:val="both"/>
        <w:rPr>
          <w:rFonts w:ascii="Verdana" w:hAnsi="Verdana"/>
        </w:rPr>
      </w:pPr>
      <w:r w:rsidRPr="00A05269">
        <w:rPr>
          <w:rFonts w:ascii="Verdana" w:hAnsi="Verdana"/>
        </w:rPr>
        <w:t>2.2. Naturaleza y Funciones de la Defensoría de Familia</w:t>
      </w:r>
    </w:p>
    <w:p w14:paraId="243C65EE" w14:textId="77777777" w:rsidR="003F1B5F" w:rsidRPr="00A05269" w:rsidRDefault="003F1B5F" w:rsidP="003F1B5F">
      <w:pPr>
        <w:jc w:val="both"/>
        <w:rPr>
          <w:rFonts w:ascii="Verdana" w:hAnsi="Verdana"/>
        </w:rPr>
      </w:pPr>
      <w:r w:rsidRPr="00A05269">
        <w:rPr>
          <w:rFonts w:ascii="Verdana" w:hAnsi="Verdana"/>
        </w:rPr>
        <w:t xml:space="preserve">Con la promulgación de la Ley 1098 de 2006, Código de la Infancia y la Adolescencia, se transforma el concepto de “menor en situación irregular”, propio del Decreto 2737 de 1989 -Código del Menor-, a la doctrina de “la Protección integral de los niños, niñas y adolescentes como sujetos especiales de derechos”. El cambio de concepto trajo consigo profundas transformaciones en el derecho de familia, infancia y adolescencia, uno de los más significativos fue entender que esta categoría de derecho no solo se cimienta en el componente </w:t>
      </w:r>
      <w:proofErr w:type="gramStart"/>
      <w:r w:rsidRPr="00A05269">
        <w:rPr>
          <w:rFonts w:ascii="Verdana" w:hAnsi="Verdana"/>
        </w:rPr>
        <w:t>jurídico</w:t>
      </w:r>
      <w:proofErr w:type="gramEnd"/>
      <w:r w:rsidRPr="00A05269">
        <w:rPr>
          <w:rFonts w:ascii="Verdana" w:hAnsi="Verdana"/>
        </w:rPr>
        <w:t xml:space="preserve"> sino que requiere además de ciencias auxiliares como la sociología, la psicología, la medicina, entre otras; a causa de ello y teniendo como horizonte la protección integral de niños, niñas y adolescentes se hizo necesario la creación de las Defensorías de Familia.</w:t>
      </w:r>
    </w:p>
    <w:p w14:paraId="3C1F1C33" w14:textId="77777777" w:rsidR="003F1B5F" w:rsidRPr="00A05269" w:rsidRDefault="003F1B5F" w:rsidP="003F1B5F">
      <w:pPr>
        <w:jc w:val="both"/>
        <w:rPr>
          <w:rFonts w:ascii="Verdana" w:hAnsi="Verdana"/>
        </w:rPr>
      </w:pPr>
      <w:r w:rsidRPr="00A05269">
        <w:rPr>
          <w:rFonts w:ascii="Verdana" w:hAnsi="Verdana"/>
        </w:rPr>
        <w:t>Las Defensorías de Familia son creadas por el Art. 79 de la Ley 1098 de 2006, como dependencias del Instituto Colombiano de Bienestar Familiar, su naturaleza es interdisciplinaria, por cuanto, está integrada por profesionales de diferentes áreas que como mínimo deberán contar con un Psicólogo, un Trabajador Social, un Nutricionista y un abogado quien será el Defensor de Familia.</w:t>
      </w:r>
    </w:p>
    <w:p w14:paraId="1089A7F9" w14:textId="77777777" w:rsidR="003F1B5F" w:rsidRPr="00A05269" w:rsidRDefault="003F1B5F" w:rsidP="003F1B5F">
      <w:pPr>
        <w:jc w:val="both"/>
        <w:rPr>
          <w:rFonts w:ascii="Verdana" w:hAnsi="Verdana"/>
        </w:rPr>
      </w:pPr>
      <w:r w:rsidRPr="00A05269">
        <w:rPr>
          <w:rFonts w:ascii="Verdana" w:hAnsi="Verdana"/>
        </w:rPr>
        <w:t xml:space="preserve">La función principal de la Defensoría de Familia es prevenir, garantizar y restablecer los derechos de los niños, niñas y adolescentes, por lo cual, sus </w:t>
      </w:r>
      <w:r w:rsidRPr="00A05269">
        <w:rPr>
          <w:rFonts w:ascii="Verdana" w:hAnsi="Verdana"/>
        </w:rPr>
        <w:lastRenderedPageBreak/>
        <w:t>conceptos emitidos tendrán el carácter de dictamen pericial y servirán como material probatorio al Defensor de Familia en el Proceso Administrativo de Restablecimiento de Derechos para definir la situación legal de los niños, niñas y adolescentes.</w:t>
      </w:r>
    </w:p>
    <w:p w14:paraId="0BFDADF6" w14:textId="77777777" w:rsidR="003F1B5F" w:rsidRPr="00A05269" w:rsidRDefault="003F1B5F" w:rsidP="003F1B5F">
      <w:pPr>
        <w:jc w:val="both"/>
        <w:rPr>
          <w:rFonts w:ascii="Verdana" w:hAnsi="Verdana"/>
        </w:rPr>
      </w:pPr>
      <w:r w:rsidRPr="00A05269">
        <w:rPr>
          <w:rFonts w:ascii="Verdana" w:hAnsi="Verdana"/>
        </w:rPr>
        <w:t>Finalmente, es importante precisar que la ley otorgó una pluralidad de funciones a las Defensorías de Familia encaminadas a la prevención, verificación y restablecimiento de derechos de niños, niñas y adolescentes, así mismo, no consagró clasificación alguna de Defensorías de Familia para la ejecución de las mismas, por consiguiente, más allá de la atribución interna de funciones que pueda hacer el ICBF a nivel Nacional o Regional para atender las necesidades de la prestación del servicio, la protección de los derechos de los niños, niñas y adolescentes no puede estar sujeta a formalidades administrativas de competencias internas de funciones que afecten directamente a aquéllos, máxime si se tiene en cuenta los principios de interés superior y prevalencia del derecho sustancial sobre el procedimental.</w:t>
      </w:r>
    </w:p>
    <w:p w14:paraId="1E077A2E" w14:textId="77777777" w:rsidR="003F1B5F" w:rsidRPr="00A05269" w:rsidRDefault="003F1B5F" w:rsidP="003F1B5F">
      <w:pPr>
        <w:jc w:val="both"/>
        <w:rPr>
          <w:rFonts w:ascii="Verdana" w:hAnsi="Verdana"/>
        </w:rPr>
      </w:pPr>
      <w:r w:rsidRPr="00A05269">
        <w:rPr>
          <w:rFonts w:ascii="Verdana" w:hAnsi="Verdana"/>
        </w:rPr>
        <w:t>2.3 Atribución funcional de las Defensorías de Familia</w:t>
      </w:r>
    </w:p>
    <w:p w14:paraId="1FE6F8F3" w14:textId="77777777" w:rsidR="003F1B5F" w:rsidRPr="00A05269" w:rsidRDefault="003F1B5F" w:rsidP="003F1B5F">
      <w:pPr>
        <w:jc w:val="both"/>
        <w:rPr>
          <w:rFonts w:ascii="Verdana" w:hAnsi="Verdana"/>
        </w:rPr>
      </w:pPr>
      <w:r w:rsidRPr="00A05269">
        <w:rPr>
          <w:rFonts w:ascii="Verdana" w:hAnsi="Verdana"/>
        </w:rPr>
        <w:t>Si bien es cierto que la Ley 1098 de 2006 no consagra clasificación alguna para las Defensorías de Familias, el Instituto Colombiano de Bienestar Familiar, para mejorar en la prestación del servicio y atención al usuario en aras de garantizar un efectivo proceso administrativo de restablecimiento de derechos, tiene la facultad de distribuir internamente sus funciones.</w:t>
      </w:r>
    </w:p>
    <w:p w14:paraId="7AE94BA1" w14:textId="77777777" w:rsidR="003F1B5F" w:rsidRPr="00A05269" w:rsidRDefault="003F1B5F" w:rsidP="003F1B5F">
      <w:pPr>
        <w:jc w:val="both"/>
        <w:rPr>
          <w:rFonts w:ascii="Verdana" w:hAnsi="Verdana"/>
        </w:rPr>
      </w:pPr>
      <w:r w:rsidRPr="00A05269">
        <w:rPr>
          <w:rFonts w:ascii="Verdana" w:hAnsi="Verdana"/>
        </w:rPr>
        <w:t>Así las cosas, el ICBF ha organizado la prestación del servicio, impartiendo directrices para el correcto funcionamiento del sistema, sin que le sea posible a los Defensores de Familia la abstención de garantizar o proteger los derechos de los menores de edad, tendiendo &lt;sic&gt; en cuenta la prevalencia de los derechos sustanciales sobre los procesales, máxime que sus actuaciones deben estar orientadas a dar cumplimiento al interés superior que le asiste a todos los niños, niñas y adolescentes.</w:t>
      </w:r>
    </w:p>
    <w:p w14:paraId="63075905" w14:textId="77777777" w:rsidR="003F1B5F" w:rsidRPr="00A05269" w:rsidRDefault="003F1B5F" w:rsidP="003F1B5F">
      <w:pPr>
        <w:jc w:val="both"/>
        <w:rPr>
          <w:rFonts w:ascii="Verdana" w:hAnsi="Verdana"/>
        </w:rPr>
      </w:pPr>
      <w:r w:rsidRPr="00A05269">
        <w:rPr>
          <w:rFonts w:ascii="Verdana" w:hAnsi="Verdana"/>
        </w:rPr>
        <w:t xml:space="preserve">Resulta importante afirmar que dentro de la distribución funcional que ha establecido el ICBF no existe una clasificación propia establecida para la atención a grupos de hermanos. No </w:t>
      </w:r>
      <w:proofErr w:type="gramStart"/>
      <w:r w:rsidRPr="00A05269">
        <w:rPr>
          <w:rFonts w:ascii="Verdana" w:hAnsi="Verdana"/>
        </w:rPr>
        <w:t>obstante</w:t>
      </w:r>
      <w:proofErr w:type="gramEnd"/>
      <w:r w:rsidRPr="00A05269">
        <w:rPr>
          <w:rFonts w:ascii="Verdana" w:hAnsi="Verdana"/>
        </w:rPr>
        <w:t xml:space="preserve"> lo anterior, deben las Defensorías de Familia adelantar procesos de restablecimiento de derechos de niños, niñas y adolescentes, que en su mayoría pertenezcan a grupos de hermanos, en favor del interés superior de los menores de edad, por lo que los casos de restablecimiento de derechos a favor de varios hermanos los debe llevar un mismo Defensor de Familia, de forma independiente </w:t>
      </w:r>
      <w:proofErr w:type="gramStart"/>
      <w:r w:rsidRPr="00A05269">
        <w:rPr>
          <w:rFonts w:ascii="Verdana" w:hAnsi="Verdana"/>
        </w:rPr>
        <w:t>de acuerdo a</w:t>
      </w:r>
      <w:proofErr w:type="gramEnd"/>
      <w:r w:rsidRPr="00A05269">
        <w:rPr>
          <w:rFonts w:ascii="Verdana" w:hAnsi="Verdana"/>
        </w:rPr>
        <w:t xml:space="preserve"> las particularidades y características de cada caso.</w:t>
      </w:r>
    </w:p>
    <w:p w14:paraId="2BEF06A2" w14:textId="77777777" w:rsidR="003F1B5F" w:rsidRPr="00A05269" w:rsidRDefault="003F1B5F" w:rsidP="003F1B5F">
      <w:pPr>
        <w:jc w:val="both"/>
        <w:rPr>
          <w:rFonts w:ascii="Verdana" w:hAnsi="Verdana"/>
        </w:rPr>
      </w:pPr>
      <w:r w:rsidRPr="00A05269">
        <w:rPr>
          <w:rFonts w:ascii="Verdana" w:hAnsi="Verdana"/>
        </w:rPr>
        <w:t xml:space="preserve">Lo anterior con la finalidad de procurar la reunificación familiar, adelantar acciones legales con la familia biológica que beneficien a todos los hermanos, vincular a los integrantes de la familia a procesos de atención o de intervención, vincular a los integrantes de la familia o redes de apoyo y sobre </w:t>
      </w:r>
      <w:r w:rsidRPr="00A05269">
        <w:rPr>
          <w:rFonts w:ascii="Verdana" w:hAnsi="Verdana"/>
        </w:rPr>
        <w:lastRenderedPageBreak/>
        <w:t>todo, para no adelantar acciones dispersas en la garantía de derechos de los niños, las niñas y los adolescentes que a su favor se hayan abierto procesos administrativos de restablecimiento de derechos.</w:t>
      </w:r>
    </w:p>
    <w:p w14:paraId="0BDE4B53" w14:textId="77777777" w:rsidR="003F1B5F" w:rsidRPr="00A05269" w:rsidRDefault="003F1B5F" w:rsidP="003F1B5F">
      <w:pPr>
        <w:jc w:val="both"/>
        <w:rPr>
          <w:rFonts w:ascii="Verdana" w:hAnsi="Verdana"/>
        </w:rPr>
      </w:pPr>
      <w:r w:rsidRPr="00A05269">
        <w:rPr>
          <w:rFonts w:ascii="Verdana" w:hAnsi="Verdana"/>
        </w:rPr>
        <w:t>2.4 De la acumulación de procesos</w:t>
      </w:r>
    </w:p>
    <w:p w14:paraId="69FC53CA" w14:textId="77777777" w:rsidR="003F1B5F" w:rsidRPr="00A05269" w:rsidRDefault="003F1B5F" w:rsidP="003F1B5F">
      <w:pPr>
        <w:jc w:val="both"/>
        <w:rPr>
          <w:rFonts w:ascii="Verdana" w:hAnsi="Verdana"/>
        </w:rPr>
      </w:pPr>
      <w:r w:rsidRPr="00A05269">
        <w:rPr>
          <w:rFonts w:ascii="Verdana" w:hAnsi="Verdana"/>
        </w:rPr>
        <w:t>Resulta lo primero afirmar que la acumulación de procesos es una figura creada en cumplimiento del principio de economía procesal y tiene como finalidad garantizar la seguridad jurídica a fin de que no se produzcan fallos contradictorios.</w:t>
      </w:r>
    </w:p>
    <w:p w14:paraId="102765C5" w14:textId="77777777" w:rsidR="003F1B5F" w:rsidRPr="00A05269" w:rsidRDefault="003F1B5F" w:rsidP="003F1B5F">
      <w:pPr>
        <w:jc w:val="both"/>
        <w:rPr>
          <w:rFonts w:ascii="Verdana" w:hAnsi="Verdana"/>
        </w:rPr>
      </w:pPr>
      <w:r w:rsidRPr="00A05269">
        <w:rPr>
          <w:rFonts w:ascii="Verdana" w:hAnsi="Verdana"/>
        </w:rPr>
        <w:t>"Una interpretación de las normas procesales que facilite la acumulación promueve el principio de economía procesal según el cual todos los agentes involucrados en el proceso de administración de justicia, deben intentar obtener el mejor resultado, tanto para las partes como en términos globales, con el menor costo en tiempo y recursos. Ciertamente, si un número plural de procesos puede ser resuelto por un mismo funcionario judicial, a partir de la solución de un idéntico problema jurídico, nada justifica el hecho de que los procesos no puedan acumularse.”</w:t>
      </w:r>
    </w:p>
    <w:p w14:paraId="5277F3EF" w14:textId="77777777" w:rsidR="003F1B5F" w:rsidRPr="00A05269" w:rsidRDefault="003F1B5F" w:rsidP="003F1B5F">
      <w:pPr>
        <w:jc w:val="both"/>
        <w:rPr>
          <w:rFonts w:ascii="Verdana" w:hAnsi="Verdana"/>
        </w:rPr>
      </w:pPr>
      <w:r w:rsidRPr="00A05269">
        <w:rPr>
          <w:rFonts w:ascii="Verdana" w:hAnsi="Verdana"/>
        </w:rPr>
        <w:t>El Código General del Proceso, establece que ciertos procesos judiciales que reúnan una serie de requisitos podrán tramitarse ante el mismo juez y resolverse en conjunto, figura conocida en el ordenamiento jurídico como la acumulación de procesos.</w:t>
      </w:r>
    </w:p>
    <w:p w14:paraId="5ED5E898" w14:textId="77777777" w:rsidR="003F1B5F" w:rsidRPr="00A05269" w:rsidRDefault="003F1B5F" w:rsidP="003F1B5F">
      <w:pPr>
        <w:jc w:val="both"/>
        <w:rPr>
          <w:rFonts w:ascii="Verdana" w:hAnsi="Verdana"/>
        </w:rPr>
      </w:pPr>
      <w:r w:rsidRPr="00A05269">
        <w:rPr>
          <w:rFonts w:ascii="Verdana" w:hAnsi="Verdana"/>
        </w:rPr>
        <w:t>El nuevo código a diferencia de lo establecido en el anterior Código de Procedimiento Civil, dispone que la acumulación es procedente de oficio y a petición de parte, en los procesos que deben tramitarse por el mismo procedimiento y estén en la misma instancia. Los procesos, deben reunir las siguientes características:</w:t>
      </w:r>
    </w:p>
    <w:p w14:paraId="4F490814" w14:textId="77777777" w:rsidR="003F1B5F" w:rsidRPr="00A05269" w:rsidRDefault="003F1B5F" w:rsidP="003F1B5F">
      <w:pPr>
        <w:jc w:val="both"/>
        <w:rPr>
          <w:rFonts w:ascii="Verdana" w:hAnsi="Verdana"/>
        </w:rPr>
      </w:pPr>
      <w:r w:rsidRPr="00A05269">
        <w:rPr>
          <w:rFonts w:ascii="Verdana" w:hAnsi="Verdana"/>
        </w:rPr>
        <w:t>“a) Cuando las pretensiones formuladas habrían podido acumularse en la misma demanda.</w:t>
      </w:r>
    </w:p>
    <w:p w14:paraId="3FC7C095" w14:textId="77777777" w:rsidR="003F1B5F" w:rsidRPr="00A05269" w:rsidRDefault="003F1B5F" w:rsidP="003F1B5F">
      <w:pPr>
        <w:jc w:val="both"/>
        <w:rPr>
          <w:rFonts w:ascii="Verdana" w:hAnsi="Verdana"/>
        </w:rPr>
      </w:pPr>
      <w:r w:rsidRPr="00A05269">
        <w:rPr>
          <w:rFonts w:ascii="Verdana" w:hAnsi="Verdana"/>
        </w:rPr>
        <w:t>b) Cuando se trate de pretensiones conexas y las partes sean demandantes y demandados recíprocos.</w:t>
      </w:r>
    </w:p>
    <w:p w14:paraId="6D33DB62" w14:textId="77777777" w:rsidR="003F1B5F" w:rsidRPr="00A05269" w:rsidRDefault="003F1B5F" w:rsidP="003F1B5F">
      <w:pPr>
        <w:jc w:val="both"/>
        <w:rPr>
          <w:rFonts w:ascii="Verdana" w:hAnsi="Verdana"/>
        </w:rPr>
      </w:pPr>
      <w:r w:rsidRPr="00A05269">
        <w:rPr>
          <w:rFonts w:ascii="Verdana" w:hAnsi="Verdana"/>
        </w:rPr>
        <w:t>c) Cuando el demandado sea el mismo y las excepciones de mérito propuestas se fundamenten en los mismos hechos”.</w:t>
      </w:r>
    </w:p>
    <w:p w14:paraId="797434D6" w14:textId="77777777" w:rsidR="003F1B5F" w:rsidRPr="00A05269" w:rsidRDefault="003F1B5F" w:rsidP="003F1B5F">
      <w:pPr>
        <w:jc w:val="both"/>
        <w:rPr>
          <w:rFonts w:ascii="Verdana" w:hAnsi="Verdana"/>
        </w:rPr>
      </w:pPr>
      <w:r w:rsidRPr="00A05269">
        <w:rPr>
          <w:rFonts w:ascii="Verdana" w:hAnsi="Verdana"/>
        </w:rPr>
        <w:t>El Código General del Proceso consagra la alternativa de realizar la acumulación cuando las partes sean demandantes y demandados recíprocos y las pretensiones sean conexas, en distintos procesos.</w:t>
      </w:r>
    </w:p>
    <w:p w14:paraId="7A1BE7DB" w14:textId="77777777" w:rsidR="003F1B5F" w:rsidRPr="00A05269" w:rsidRDefault="003F1B5F" w:rsidP="003F1B5F">
      <w:pPr>
        <w:jc w:val="both"/>
        <w:rPr>
          <w:rFonts w:ascii="Verdana" w:hAnsi="Verdana"/>
        </w:rPr>
      </w:pPr>
      <w:r w:rsidRPr="00A05269">
        <w:rPr>
          <w:rFonts w:ascii="Verdana" w:hAnsi="Verdana"/>
        </w:rPr>
        <w:t>La Ley 1098 de 2006 en sus artículos 122 y 131 consagra la acumulación de pretensiones y de procesos de alimentos, respectivamente, artículos que a su tenor establecen:</w:t>
      </w:r>
    </w:p>
    <w:p w14:paraId="1B9AAEFA" w14:textId="77777777" w:rsidR="003F1B5F" w:rsidRPr="00A05269" w:rsidRDefault="003F1B5F" w:rsidP="003F1B5F">
      <w:pPr>
        <w:jc w:val="both"/>
        <w:rPr>
          <w:rFonts w:ascii="Verdana" w:hAnsi="Verdana"/>
        </w:rPr>
      </w:pPr>
      <w:r w:rsidRPr="00A05269">
        <w:rPr>
          <w:rFonts w:ascii="Verdana" w:hAnsi="Verdana"/>
        </w:rPr>
        <w:t xml:space="preserve">“Artículo 122. Acumulación de pretensiones y pronunciamiento oficioso. Podrán acumularse en una misma demanda pretensiones relacionadas con uno o con </w:t>
      </w:r>
      <w:r w:rsidRPr="00A05269">
        <w:rPr>
          <w:rFonts w:ascii="Verdana" w:hAnsi="Verdana"/>
        </w:rPr>
        <w:lastRenderedPageBreak/>
        <w:t>varios niños, niñas o adolescentes, respecto de los mismos padres, representantes legales, o personas que los tengan bajo su cuidado, siempre que el juez sea competente para conocer de todas.</w:t>
      </w:r>
    </w:p>
    <w:p w14:paraId="18376E63" w14:textId="77777777" w:rsidR="003F1B5F" w:rsidRPr="00A05269" w:rsidRDefault="003F1B5F" w:rsidP="003F1B5F">
      <w:pPr>
        <w:jc w:val="both"/>
        <w:rPr>
          <w:rFonts w:ascii="Verdana" w:hAnsi="Verdana"/>
        </w:rPr>
      </w:pPr>
      <w:r w:rsidRPr="00A05269">
        <w:rPr>
          <w:rFonts w:ascii="Verdana" w:hAnsi="Verdana"/>
        </w:rPr>
        <w:t>El juez deberá pronunciarse sobre todas las situaciones establecidas en el proceso que comprometan los intereses del niño, la niña o el adolescente, aunque no hubieren sido alegadas por las partes y cuando todas ellas puedan tramitarse por el mismo procedimiento.</w:t>
      </w:r>
    </w:p>
    <w:p w14:paraId="21927CF8" w14:textId="77777777" w:rsidR="003F1B5F" w:rsidRPr="00A05269" w:rsidRDefault="003F1B5F" w:rsidP="003F1B5F">
      <w:pPr>
        <w:jc w:val="both"/>
        <w:rPr>
          <w:rFonts w:ascii="Verdana" w:hAnsi="Verdana"/>
        </w:rPr>
      </w:pPr>
      <w:r w:rsidRPr="00A05269">
        <w:rPr>
          <w:rFonts w:ascii="Verdana" w:hAnsi="Verdana"/>
        </w:rPr>
        <w:t>Artículo 131. Acumulación de procesos de alimentos. Si los bienes de la persona obligada o sus ingresos se hallaren embargados por virtud de una acción anterior fundada en alimentos o afectos al cumplimiento de una sentencia de alimentos, el juez, de oficio o a solicitud de parte, al tener conocimiento del hecho en un proceso concurrente, asumirá el conocimiento de los distintos procesos para el sólo efecto de señalar la cuantía de las varías pensiones alimentarías, tomando en cuenta las condiciones del alimentante y las necesidades de los diferentes alimentarios.”</w:t>
      </w:r>
    </w:p>
    <w:p w14:paraId="0BD107FE" w14:textId="77777777" w:rsidR="003F1B5F" w:rsidRPr="00A05269" w:rsidRDefault="003F1B5F" w:rsidP="003F1B5F">
      <w:pPr>
        <w:jc w:val="both"/>
        <w:rPr>
          <w:rFonts w:ascii="Verdana" w:hAnsi="Verdana"/>
        </w:rPr>
      </w:pPr>
      <w:r w:rsidRPr="00A05269">
        <w:rPr>
          <w:rFonts w:ascii="Verdana" w:hAnsi="Verdana"/>
        </w:rPr>
        <w:t>Conforme lo expuesto en precedencia, si bien el ordenamiento jurídico establece la acumulación de procesos o demandas judiciales, frente al Proceso Administrativo de Restablecimiento de Derechos no se establece nada en particular, sin embargo, teniendo en cuenta la naturaleza especial del mismo y su finalidad que es el restablecimiento efectivo de los derechos de niños, niñas y adolescentes, al tratarse de grupos de hermanos es posible toda vez que se pretende la reunificación familiar, adelantar acciones legales con la familia biológica que beneficien a todos los hermanos y no adelantar acciones dispersas en la garantía de los derechos de éstos menores de edad.</w:t>
      </w:r>
    </w:p>
    <w:p w14:paraId="6D2C6334" w14:textId="77777777" w:rsidR="003F1B5F" w:rsidRPr="00A05269" w:rsidRDefault="003F1B5F" w:rsidP="003F1B5F">
      <w:pPr>
        <w:jc w:val="both"/>
        <w:rPr>
          <w:rFonts w:ascii="Verdana" w:hAnsi="Verdana"/>
        </w:rPr>
      </w:pPr>
      <w:r w:rsidRPr="00A05269">
        <w:rPr>
          <w:rFonts w:ascii="Verdana" w:hAnsi="Verdana"/>
        </w:rPr>
        <w:t xml:space="preserve">No </w:t>
      </w:r>
      <w:proofErr w:type="gramStart"/>
      <w:r w:rsidRPr="00A05269">
        <w:rPr>
          <w:rFonts w:ascii="Verdana" w:hAnsi="Verdana"/>
        </w:rPr>
        <w:t>obstante</w:t>
      </w:r>
      <w:proofErr w:type="gramEnd"/>
      <w:r w:rsidRPr="00A05269">
        <w:rPr>
          <w:rFonts w:ascii="Verdana" w:hAnsi="Verdana"/>
        </w:rPr>
        <w:t xml:space="preserve"> lo anterior, debe existir una historia de atención por cada niño, niña o adolescente, soportada en el Sistema de Información Misional -SIM- de forma individual.</w:t>
      </w:r>
    </w:p>
    <w:p w14:paraId="5AE6AA1D" w14:textId="77777777" w:rsidR="003F1B5F" w:rsidRPr="00A05269" w:rsidRDefault="003F1B5F" w:rsidP="003F1B5F">
      <w:pPr>
        <w:jc w:val="both"/>
        <w:rPr>
          <w:rFonts w:ascii="Verdana" w:hAnsi="Verdana"/>
        </w:rPr>
      </w:pPr>
      <w:r w:rsidRPr="00A05269">
        <w:rPr>
          <w:rFonts w:ascii="Verdana" w:hAnsi="Verdana"/>
        </w:rPr>
        <w:t>2.5 El caso en concreto</w:t>
      </w:r>
    </w:p>
    <w:p w14:paraId="5E190DD9" w14:textId="77777777" w:rsidR="003F1B5F" w:rsidRPr="00A05269" w:rsidRDefault="003F1B5F" w:rsidP="003F1B5F">
      <w:pPr>
        <w:jc w:val="both"/>
        <w:rPr>
          <w:rFonts w:ascii="Verdana" w:hAnsi="Verdana"/>
        </w:rPr>
      </w:pPr>
      <w:r w:rsidRPr="00A05269">
        <w:rPr>
          <w:rFonts w:ascii="Verdana" w:hAnsi="Verdana"/>
        </w:rPr>
        <w:t>Como primera medida, debe tenerse en cuenta que el ICBF ha organizado la prestación del servicio de Defensorías de Familia y las múltiples funciones de la autoridad administrativa consagrando directrices para el correcto funcionamiento del sistema, no obstante, ningún Defensor de Familia puede excusarse en clasificaciones o formalidades administrativas de competencias internas para negarse a garantizar o proteger los derechos de niños, niñas o adolescentes.</w:t>
      </w:r>
    </w:p>
    <w:p w14:paraId="02352C95" w14:textId="77777777" w:rsidR="003F1B5F" w:rsidRPr="00A05269" w:rsidRDefault="003F1B5F" w:rsidP="003F1B5F">
      <w:pPr>
        <w:jc w:val="both"/>
        <w:rPr>
          <w:rFonts w:ascii="Verdana" w:hAnsi="Verdana"/>
        </w:rPr>
      </w:pPr>
      <w:r w:rsidRPr="00A05269">
        <w:rPr>
          <w:rFonts w:ascii="Verdana" w:hAnsi="Verdana"/>
        </w:rPr>
        <w:t xml:space="preserve">En segundo punto, se establece claramente que si es procedente la acumulación de un Proceso Administrativo de Restablecimiento de Derechos en una misma autoridad administrativa cuando los menores de edad a quienes se les han vulnerado los derechos son hermanos, siempre y cuando se cumplan con los mismos supuestos fácticos, esto es, los derechos vulnerados sean los mismos y no deba remitirse a alguno a una especialidad de protección como es </w:t>
      </w:r>
      <w:r w:rsidRPr="00A05269">
        <w:rPr>
          <w:rFonts w:ascii="Verdana" w:hAnsi="Verdana"/>
        </w:rPr>
        <w:lastRenderedPageBreak/>
        <w:t>el Sistema de Responsabilidad Penal para Adolescentes o Víctimas del Conflicto Armado, precisando que debe existir una historia de atención por cada niño, niña o adolescente, soportada en el Sistema de Información Misional -SIM- de forma individual.</w:t>
      </w:r>
    </w:p>
    <w:p w14:paraId="4CFBEF13" w14:textId="77777777" w:rsidR="003F1B5F" w:rsidRPr="00A05269" w:rsidRDefault="003F1B5F" w:rsidP="003F1B5F">
      <w:pPr>
        <w:jc w:val="both"/>
        <w:rPr>
          <w:rFonts w:ascii="Verdana" w:hAnsi="Verdana"/>
        </w:rPr>
      </w:pPr>
      <w:r w:rsidRPr="00A05269">
        <w:rPr>
          <w:rFonts w:ascii="Verdana" w:hAnsi="Verdana"/>
        </w:rPr>
        <w:t>En el caso concreto, la Autoridad Administrativa competente para conocer de los procesos de los niños XXX es la que conoció del Proceso Administrativo de Restablecimiento de Derechos del primer niño que ingreso a protección, es decir, el menor Juan XXX, siendo oportuna la ubicación de los dos menores de edad en el mismo hogar sustituto.</w:t>
      </w:r>
    </w:p>
    <w:p w14:paraId="780F866A" w14:textId="77777777" w:rsidR="003F1B5F" w:rsidRPr="00A05269" w:rsidRDefault="003F1B5F" w:rsidP="003F1B5F">
      <w:pPr>
        <w:jc w:val="both"/>
        <w:rPr>
          <w:rFonts w:ascii="Verdana" w:hAnsi="Verdana"/>
        </w:rPr>
      </w:pPr>
      <w:r w:rsidRPr="00A05269">
        <w:rPr>
          <w:rFonts w:ascii="Verdana" w:hAnsi="Verdana"/>
        </w:rPr>
        <w:t>No obstante lo anterior, debe aclararse que para el caso, no aplica la acumulación de procesos, toda vez que, el Proceso Administrativo de Restablecimiento de Derechos del niño XXX inicio el 05 de octubre de 2013, el cual, tuvo que ser definido tiempo antes del ingreso a protección de su hermano XXX, es decir, el 03 de abril de 2014, sin embargo, ello no es óbice para que la misma autoridad administrativa asuma el conocimiento de los procesos y ubicarlos en un mismo hogar sustituto, privilegiando de esta forma su interés superior y protección integral.</w:t>
      </w:r>
    </w:p>
    <w:p w14:paraId="06A4918A" w14:textId="77777777" w:rsidR="003F1B5F" w:rsidRPr="00A05269" w:rsidRDefault="003F1B5F" w:rsidP="003F1B5F">
      <w:pPr>
        <w:jc w:val="both"/>
        <w:rPr>
          <w:rFonts w:ascii="Verdana" w:hAnsi="Verdana"/>
          <w:b/>
          <w:bCs/>
        </w:rPr>
      </w:pPr>
      <w:r w:rsidRPr="00A05269">
        <w:rPr>
          <w:rFonts w:ascii="Verdana" w:hAnsi="Verdana"/>
          <w:b/>
          <w:bCs/>
        </w:rPr>
        <w:t>3. CONCLUSIONES</w:t>
      </w:r>
    </w:p>
    <w:p w14:paraId="72700683" w14:textId="77777777" w:rsidR="003F1B5F" w:rsidRPr="00A05269" w:rsidRDefault="003F1B5F" w:rsidP="003F1B5F">
      <w:pPr>
        <w:jc w:val="both"/>
        <w:rPr>
          <w:rFonts w:ascii="Verdana" w:hAnsi="Verdana"/>
        </w:rPr>
      </w:pPr>
      <w:r w:rsidRPr="00A05269">
        <w:rPr>
          <w:rFonts w:ascii="Verdana" w:hAnsi="Verdana"/>
        </w:rPr>
        <w:t>Primero: Si es procedente la acumulación de un Proceso Administrativo de Restablecimiento de Derechos en una misma autoridad administrativa cuando los menores de edad a quienes se les han vulnerado los derechos son hermanos, siempre y cuando se cumplan con los mismos supuestos fácticos, esto es, los derechos vulnerados sean los mismos y no deba remitirse a alguno a una especialidad de protección como es Sistema de Responsabilidad Penal para Adolescentes o Víctimas del Conflicto Armado, precisando que cada uno debe tener su historia de atención e información registrada de forma individual en el Sistema de Información Misional -SIM-.</w:t>
      </w:r>
    </w:p>
    <w:p w14:paraId="4EB6D64F" w14:textId="77777777" w:rsidR="003F1B5F" w:rsidRPr="00A05269" w:rsidRDefault="003F1B5F" w:rsidP="003F1B5F">
      <w:pPr>
        <w:jc w:val="both"/>
        <w:rPr>
          <w:rFonts w:ascii="Verdana" w:hAnsi="Verdana"/>
        </w:rPr>
      </w:pPr>
      <w:r w:rsidRPr="00A05269">
        <w:rPr>
          <w:rFonts w:ascii="Verdana" w:hAnsi="Verdana"/>
        </w:rPr>
        <w:t>Segundo: En el caso concreto, la Autoridad Administrativa competente para conocer del caso de los niños XXX es la que conoció en principio del Proceso Administrativo de Restablecimiento de Derechos del primer niño que ingreso a protección, es decir, el menor XXX, siendo oportuna la ubicación de los dos menores de edad en el mismo hogar sustituto.</w:t>
      </w:r>
    </w:p>
    <w:p w14:paraId="57488551" w14:textId="77777777" w:rsidR="003F1B5F" w:rsidRPr="00A05269" w:rsidRDefault="003F1B5F" w:rsidP="003F1B5F">
      <w:pPr>
        <w:jc w:val="both"/>
        <w:rPr>
          <w:rFonts w:ascii="Verdana" w:hAnsi="Verdana"/>
        </w:rPr>
      </w:pPr>
      <w:r w:rsidRPr="00A05269">
        <w:rPr>
          <w:rFonts w:ascii="Verdana" w:hAnsi="Verdana"/>
        </w:rPr>
        <w:t xml:space="preserve">Tercero: No </w:t>
      </w:r>
      <w:proofErr w:type="gramStart"/>
      <w:r w:rsidRPr="00A05269">
        <w:rPr>
          <w:rFonts w:ascii="Verdana" w:hAnsi="Verdana"/>
        </w:rPr>
        <w:t>obstante</w:t>
      </w:r>
      <w:proofErr w:type="gramEnd"/>
      <w:r w:rsidRPr="00A05269">
        <w:rPr>
          <w:rFonts w:ascii="Verdana" w:hAnsi="Verdana"/>
        </w:rPr>
        <w:t xml:space="preserve"> lo anterior, debe aclararse </w:t>
      </w:r>
      <w:proofErr w:type="gramStart"/>
      <w:r w:rsidRPr="00A05269">
        <w:rPr>
          <w:rFonts w:ascii="Verdana" w:hAnsi="Verdana"/>
        </w:rPr>
        <w:t>que</w:t>
      </w:r>
      <w:proofErr w:type="gramEnd"/>
      <w:r w:rsidRPr="00A05269">
        <w:rPr>
          <w:rFonts w:ascii="Verdana" w:hAnsi="Verdana"/>
        </w:rPr>
        <w:t xml:space="preserve"> para el caso concreto, no aplica la a acumulación de procesos, toda, vez que, el Proceso Administrativo de Restablecimiento de Derechos del niño XXX inicio el 05 de octubre de 2013, el cual, tuvo que ser definido tiempo antes del ingreso a protección de su hermano XXX, es decir, el 03 de abril de 2014.</w:t>
      </w:r>
    </w:p>
    <w:p w14:paraId="142F4E7E" w14:textId="77777777" w:rsidR="003F1B5F" w:rsidRPr="00A05269" w:rsidRDefault="003F1B5F" w:rsidP="003F1B5F">
      <w:pPr>
        <w:jc w:val="both"/>
        <w:rPr>
          <w:rFonts w:ascii="Verdana" w:hAnsi="Verdana"/>
        </w:rPr>
      </w:pPr>
      <w:r w:rsidRPr="00A05269">
        <w:rPr>
          <w:rFonts w:ascii="Verdana" w:hAnsi="Verdana"/>
        </w:rPr>
        <w:t xml:space="preserve">Cuarto: Sin embargo, la aclaración anterior, como ya se expresó en precedencia, no es óbice para que la misma autoridad administrativa conozca de los Procesos Administrativos de Restablecimiento de Derechos de los niños </w:t>
      </w:r>
      <w:r w:rsidRPr="00A05269">
        <w:rPr>
          <w:rFonts w:ascii="Verdana" w:hAnsi="Verdana"/>
        </w:rPr>
        <w:lastRenderedPageBreak/>
        <w:t>y ubicarlos en un mismo hogar sustituto, privilegiando de esta forma su interés superior y protección integral.</w:t>
      </w:r>
    </w:p>
    <w:p w14:paraId="75E2F7FC" w14:textId="77777777" w:rsidR="003F1B5F" w:rsidRPr="00A05269" w:rsidRDefault="003F1B5F" w:rsidP="003F1B5F">
      <w:pPr>
        <w:jc w:val="both"/>
        <w:rPr>
          <w:rFonts w:ascii="Verdana" w:hAnsi="Verdana"/>
        </w:rPr>
      </w:pPr>
      <w:r w:rsidRPr="00A05269">
        <w:rPr>
          <w:rFonts w:ascii="Verdana" w:hAnsi="Verdana"/>
        </w:rPr>
        <w:t xml:space="preserve">Para finalizar le recordamos que las solicitudes de concepto que se sometan a consideración de la Oficina Asesora Jurídica, deben cumplir los requisitos señalados en la Circular No. 002 del 19 de enero del 2012. Reiteramos nuestra disposición y oración con el fin de garantizar el cumplimiento de las funciones y obligaciones a garantía y el restablecimiento de los derechos de </w:t>
      </w:r>
      <w:proofErr w:type="spellStart"/>
      <w:r w:rsidRPr="00A05269">
        <w:rPr>
          <w:rFonts w:ascii="Verdana" w:hAnsi="Verdana"/>
        </w:rPr>
        <w:t>tos</w:t>
      </w:r>
      <w:proofErr w:type="spellEnd"/>
      <w:r w:rsidRPr="00A05269">
        <w:rPr>
          <w:rFonts w:ascii="Verdana" w:hAnsi="Verdana"/>
        </w:rPr>
        <w:t xml:space="preserve"> niños, las niñas, los adolescentes y su contexto familiar.</w:t>
      </w:r>
    </w:p>
    <w:p w14:paraId="1F5071F0" w14:textId="77777777" w:rsidR="003F1B5F" w:rsidRPr="00A05269" w:rsidRDefault="003F1B5F" w:rsidP="003F1B5F">
      <w:pPr>
        <w:jc w:val="both"/>
        <w:rPr>
          <w:rFonts w:ascii="Verdana" w:hAnsi="Verdana"/>
        </w:rPr>
      </w:pPr>
      <w:r w:rsidRPr="00A05269">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A05269">
        <w:rPr>
          <w:rFonts w:ascii="Verdana" w:hAnsi="Verdana"/>
        </w:rPr>
        <w:t>obstante</w:t>
      </w:r>
      <w:proofErr w:type="gramEnd"/>
      <w:r w:rsidRPr="00A05269">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C2FD389" w14:textId="77777777" w:rsidR="003F1B5F" w:rsidRDefault="003F1B5F" w:rsidP="003F1B5F">
      <w:pPr>
        <w:jc w:val="both"/>
        <w:rPr>
          <w:rFonts w:ascii="Verdana" w:hAnsi="Verdana"/>
        </w:rPr>
      </w:pPr>
      <w:r w:rsidRPr="00A05269">
        <w:rPr>
          <w:rFonts w:ascii="Verdana" w:hAnsi="Verdana"/>
        </w:rPr>
        <w:t>Cordialmente,</w:t>
      </w:r>
    </w:p>
    <w:p w14:paraId="717E4995" w14:textId="77777777" w:rsidR="00EC156F" w:rsidRPr="00A05269" w:rsidRDefault="00EC156F" w:rsidP="003F1B5F">
      <w:pPr>
        <w:jc w:val="both"/>
        <w:rPr>
          <w:rFonts w:ascii="Verdana" w:hAnsi="Verdana"/>
        </w:rPr>
      </w:pPr>
    </w:p>
    <w:p w14:paraId="01D31653" w14:textId="77777777" w:rsidR="003F1B5F" w:rsidRPr="00A05269" w:rsidRDefault="003F1B5F" w:rsidP="00EC156F">
      <w:pPr>
        <w:rPr>
          <w:rFonts w:ascii="Verdana" w:hAnsi="Verdana"/>
          <w:b/>
          <w:bCs/>
        </w:rPr>
      </w:pPr>
      <w:r w:rsidRPr="00A05269">
        <w:rPr>
          <w:rFonts w:ascii="Verdana" w:hAnsi="Verdana"/>
          <w:b/>
          <w:bCs/>
        </w:rPr>
        <w:t>LUISA MARINA BALLESTEROS ARISTIZABAL</w:t>
      </w:r>
    </w:p>
    <w:p w14:paraId="1A0C22D4" w14:textId="77777777" w:rsidR="003F1B5F" w:rsidRPr="00A05269" w:rsidRDefault="003F1B5F" w:rsidP="00EC156F">
      <w:pPr>
        <w:rPr>
          <w:rFonts w:ascii="Verdana" w:hAnsi="Verdana"/>
        </w:rPr>
      </w:pPr>
      <w:r w:rsidRPr="00A05269">
        <w:rPr>
          <w:rFonts w:ascii="Verdana" w:hAnsi="Verdana"/>
        </w:rPr>
        <w:t>JEFE OFICINA ASESORA JURÍDICA</w:t>
      </w:r>
    </w:p>
    <w:p w14:paraId="0199447B" w14:textId="77777777" w:rsidR="00EC156F" w:rsidRDefault="00EC156F" w:rsidP="003F1B5F">
      <w:pPr>
        <w:jc w:val="both"/>
        <w:rPr>
          <w:rFonts w:ascii="Verdana" w:hAnsi="Verdana"/>
        </w:rPr>
      </w:pPr>
    </w:p>
    <w:p w14:paraId="35D6B8A7" w14:textId="644A0687" w:rsidR="00EC156F" w:rsidRPr="00EC156F" w:rsidRDefault="00EC156F" w:rsidP="003F1B5F">
      <w:pPr>
        <w:jc w:val="both"/>
        <w:rPr>
          <w:rFonts w:ascii="Verdana" w:hAnsi="Verdana"/>
          <w:b/>
          <w:bCs/>
        </w:rPr>
      </w:pPr>
      <w:r w:rsidRPr="00EC156F">
        <w:rPr>
          <w:rFonts w:ascii="Verdana" w:hAnsi="Verdana"/>
          <w:b/>
          <w:bCs/>
        </w:rPr>
        <w:t>Notas pie de página:</w:t>
      </w:r>
    </w:p>
    <w:p w14:paraId="5EB48689" w14:textId="6FE4C140" w:rsidR="003F1B5F" w:rsidRPr="00A05269" w:rsidRDefault="003F1B5F" w:rsidP="003F1B5F">
      <w:pPr>
        <w:jc w:val="both"/>
        <w:rPr>
          <w:rFonts w:ascii="Verdana" w:hAnsi="Verdana"/>
        </w:rPr>
      </w:pPr>
      <w:r w:rsidRPr="00A05269">
        <w:rPr>
          <w:rFonts w:ascii="Verdana" w:hAnsi="Verdana"/>
        </w:rPr>
        <w:t>1. Ley 1098 de 2006, artículo 5.</w:t>
      </w:r>
    </w:p>
    <w:p w14:paraId="4E9A2749" w14:textId="77777777" w:rsidR="003F1B5F" w:rsidRPr="00A05269" w:rsidRDefault="003F1B5F" w:rsidP="003F1B5F">
      <w:pPr>
        <w:jc w:val="both"/>
        <w:rPr>
          <w:rFonts w:ascii="Verdana" w:hAnsi="Verdana"/>
        </w:rPr>
      </w:pPr>
      <w:r w:rsidRPr="00A05269">
        <w:rPr>
          <w:rFonts w:ascii="Verdana" w:hAnsi="Verdana"/>
        </w:rPr>
        <w:t>2. Resolución No. 005929 del 27 de diciembre de 2010.</w:t>
      </w:r>
    </w:p>
    <w:p w14:paraId="0AE1FC7B" w14:textId="77777777" w:rsidR="003F1B5F" w:rsidRPr="00A05269" w:rsidRDefault="003F1B5F" w:rsidP="003F1B5F">
      <w:pPr>
        <w:jc w:val="both"/>
        <w:rPr>
          <w:rFonts w:ascii="Verdana" w:hAnsi="Verdana"/>
        </w:rPr>
      </w:pPr>
      <w:r w:rsidRPr="00A05269">
        <w:rPr>
          <w:rFonts w:ascii="Verdana" w:hAnsi="Verdana"/>
        </w:rPr>
        <w:t>3. Ley 1098 de 2006, art. 79.</w:t>
      </w:r>
    </w:p>
    <w:p w14:paraId="1A9FAFCF" w14:textId="77777777" w:rsidR="003F1B5F" w:rsidRPr="00A05269" w:rsidRDefault="003F1B5F" w:rsidP="003F1B5F">
      <w:pPr>
        <w:jc w:val="both"/>
        <w:rPr>
          <w:rFonts w:ascii="Verdana" w:hAnsi="Verdana"/>
        </w:rPr>
      </w:pPr>
      <w:r w:rsidRPr="00A05269">
        <w:rPr>
          <w:rFonts w:ascii="Verdana" w:hAnsi="Verdana"/>
        </w:rPr>
        <w:t xml:space="preserve">4. Artículo 44 Constitución Política,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ejercido pleno de sus derechos. Cualquier persona puede exigir de la </w:t>
      </w:r>
      <w:r w:rsidRPr="00A05269">
        <w:rPr>
          <w:rFonts w:ascii="Verdana" w:hAnsi="Verdana"/>
        </w:rPr>
        <w:lastRenderedPageBreak/>
        <w:t>autoridad competente su cumplimiento y la sanción de los infractores. Los derechos de los niños prevalecen sobre los derechos de los demás”.</w:t>
      </w:r>
    </w:p>
    <w:p w14:paraId="7B2869B8" w14:textId="77777777" w:rsidR="003F1B5F" w:rsidRPr="00A05269" w:rsidRDefault="003F1B5F" w:rsidP="003F1B5F">
      <w:pPr>
        <w:jc w:val="both"/>
        <w:rPr>
          <w:rFonts w:ascii="Verdana" w:hAnsi="Verdana"/>
        </w:rPr>
      </w:pPr>
      <w:r w:rsidRPr="00A05269">
        <w:rPr>
          <w:rFonts w:ascii="Verdana" w:hAnsi="Verdana"/>
        </w:rPr>
        <w:t>5. Artículo 228 Constitución Política, 'La Administración de Justicia es función pública. Sus decisiones son Independientes. Las actuaciones serán públicas y permanentes con las excepciones que establezca la ley y en ellas prevalecerá el derecho sustancial. Los términos procesales se observarán con diligencia y su incumplimiento será sancionado. Su funcionamiento será desconcentrado y Autónomo”.</w:t>
      </w:r>
    </w:p>
    <w:p w14:paraId="586CA9A9" w14:textId="77777777" w:rsidR="003F1B5F" w:rsidRPr="00A05269" w:rsidRDefault="003F1B5F" w:rsidP="003F1B5F">
      <w:pPr>
        <w:jc w:val="both"/>
        <w:rPr>
          <w:rFonts w:ascii="Verdana" w:hAnsi="Verdana"/>
        </w:rPr>
      </w:pPr>
      <w:r w:rsidRPr="00A05269">
        <w:rPr>
          <w:rFonts w:ascii="Verdana" w:hAnsi="Verdana"/>
        </w:rPr>
        <w:t>6. Sentencia T-1017 de 1999. MP Eduardo Cifuentes Muñoz.</w:t>
      </w:r>
    </w:p>
    <w:p w14:paraId="5BB58EEF" w14:textId="77777777" w:rsidR="003F1B5F" w:rsidRPr="00A05269" w:rsidRDefault="003F1B5F" w:rsidP="003F1B5F">
      <w:pPr>
        <w:jc w:val="both"/>
        <w:rPr>
          <w:rFonts w:ascii="Verdana" w:hAnsi="Verdana"/>
        </w:rPr>
      </w:pPr>
      <w:r w:rsidRPr="00A05269">
        <w:rPr>
          <w:rFonts w:ascii="Verdana" w:hAnsi="Verdana"/>
        </w:rPr>
        <w:t>7. Art. 148 Código General del Proceso.</w:t>
      </w:r>
    </w:p>
    <w:p w14:paraId="64A847AF" w14:textId="226AC335" w:rsidR="000B4793" w:rsidRPr="003F1B5F" w:rsidRDefault="003F1B5F" w:rsidP="003F1B5F">
      <w:pPr>
        <w:jc w:val="both"/>
        <w:rPr>
          <w:rFonts w:ascii="Verdana" w:hAnsi="Verdana"/>
        </w:rPr>
      </w:pPr>
      <w:r w:rsidRPr="00A05269">
        <w:rPr>
          <w:rFonts w:ascii="Verdana" w:hAnsi="Verdana"/>
        </w:rPr>
        <w:t>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0B4793" w:rsidRPr="003F1B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F1B5F"/>
    <w:rsid w:val="000B4793"/>
    <w:rsid w:val="001F4CDE"/>
    <w:rsid w:val="003F1B5F"/>
    <w:rsid w:val="00EC156F"/>
    <w:rsid w:val="00FD62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7A6D"/>
  <w15:docId w15:val="{FDF89A7C-2982-40AA-A743-830B9B31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B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B28AC683-7F88-4269-A892-D8E10B2AE399}"/>
</file>

<file path=customXml/itemProps2.xml><?xml version="1.0" encoding="utf-8"?>
<ds:datastoreItem xmlns:ds="http://schemas.openxmlformats.org/officeDocument/2006/customXml" ds:itemID="{CA0D49BE-5280-4994-A3C2-4126A9A53BBA}"/>
</file>

<file path=customXml/itemProps3.xml><?xml version="1.0" encoding="utf-8"?>
<ds:datastoreItem xmlns:ds="http://schemas.openxmlformats.org/officeDocument/2006/customXml" ds:itemID="{009B4F6A-6C6C-4D86-B946-FC4B9B756DC3}"/>
</file>

<file path=docProps/app.xml><?xml version="1.0" encoding="utf-8"?>
<Properties xmlns="http://schemas.openxmlformats.org/officeDocument/2006/extended-properties" xmlns:vt="http://schemas.openxmlformats.org/officeDocument/2006/docPropsVTypes">
  <Template>Normal</Template>
  <TotalTime>1</TotalTime>
  <Pages>1</Pages>
  <Words>3176</Words>
  <Characters>17471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2026-07-16T15:27:00Z</dcterms:created>
  <dcterms:modified xsi:type="dcterms:W3CDTF">2026-07-24T15:09:00Z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