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0D82" w14:textId="77777777" w:rsidR="001A3BD7" w:rsidRPr="001A3BD7" w:rsidRDefault="001A3BD7" w:rsidP="008060C8">
      <w:pPr>
        <w:spacing w:line="240" w:lineRule="auto"/>
        <w:jc w:val="center"/>
        <w:rPr>
          <w:rFonts w:ascii="Verdana" w:hAnsi="Verdana"/>
          <w:sz w:val="22"/>
          <w:szCs w:val="22"/>
        </w:rPr>
      </w:pPr>
      <w:r w:rsidRPr="001A3BD7">
        <w:rPr>
          <w:rFonts w:ascii="Verdana" w:hAnsi="Verdana"/>
          <w:b/>
          <w:bCs/>
          <w:sz w:val="22"/>
          <w:szCs w:val="22"/>
        </w:rPr>
        <w:t>CONCEPTO 76 DE 2015</w:t>
      </w:r>
    </w:p>
    <w:p w14:paraId="7C1908D1" w14:textId="77777777" w:rsidR="001A3BD7" w:rsidRPr="001A3BD7" w:rsidRDefault="001A3BD7" w:rsidP="008060C8">
      <w:pPr>
        <w:spacing w:line="240" w:lineRule="auto"/>
        <w:jc w:val="center"/>
        <w:rPr>
          <w:rFonts w:ascii="Verdana" w:hAnsi="Verdana"/>
          <w:sz w:val="22"/>
          <w:szCs w:val="22"/>
        </w:rPr>
      </w:pPr>
      <w:r w:rsidRPr="001A3BD7">
        <w:rPr>
          <w:rFonts w:ascii="Verdana" w:hAnsi="Verdana"/>
          <w:sz w:val="22"/>
          <w:szCs w:val="22"/>
        </w:rPr>
        <w:t>(junio 12)</w:t>
      </w:r>
    </w:p>
    <w:p w14:paraId="715130DF" w14:textId="774958D1" w:rsidR="001A3BD7" w:rsidRDefault="001A3BD7" w:rsidP="008060C8">
      <w:pPr>
        <w:spacing w:line="240" w:lineRule="auto"/>
        <w:jc w:val="center"/>
        <w:rPr>
          <w:rFonts w:ascii="Verdana" w:hAnsi="Verdana"/>
          <w:b/>
          <w:bCs/>
          <w:sz w:val="22"/>
          <w:szCs w:val="22"/>
        </w:rPr>
      </w:pPr>
      <w:r w:rsidRPr="001A3BD7">
        <w:rPr>
          <w:rFonts w:ascii="Verdana" w:hAnsi="Verdana"/>
          <w:b/>
          <w:bCs/>
          <w:sz w:val="22"/>
          <w:szCs w:val="22"/>
        </w:rPr>
        <w:t>INSTITUTO COLOMBIANO DE BIENESTAR FAMILIAR – ICB</w:t>
      </w:r>
      <w:r w:rsidR="008060C8">
        <w:rPr>
          <w:rFonts w:ascii="Verdana" w:hAnsi="Verdana"/>
          <w:b/>
          <w:bCs/>
          <w:sz w:val="22"/>
          <w:szCs w:val="22"/>
        </w:rPr>
        <w:t>F</w:t>
      </w:r>
    </w:p>
    <w:p w14:paraId="7B4DEB50" w14:textId="77777777" w:rsidR="008060C8" w:rsidRPr="001A3BD7" w:rsidRDefault="008060C8" w:rsidP="001A3BD7">
      <w:pPr>
        <w:spacing w:line="240" w:lineRule="auto"/>
        <w:jc w:val="both"/>
        <w:rPr>
          <w:rFonts w:ascii="Verdana" w:hAnsi="Verdana"/>
          <w:sz w:val="22"/>
          <w:szCs w:val="22"/>
        </w:rPr>
      </w:pPr>
    </w:p>
    <w:p w14:paraId="5C3855D2" w14:textId="10435DBF" w:rsidR="008060C8" w:rsidRPr="008060C8" w:rsidRDefault="008060C8" w:rsidP="008060C8">
      <w:pPr>
        <w:spacing w:line="240" w:lineRule="auto"/>
        <w:jc w:val="both"/>
        <w:rPr>
          <w:rFonts w:ascii="Verdana" w:hAnsi="Verdana"/>
          <w:sz w:val="22"/>
          <w:szCs w:val="22"/>
        </w:rPr>
      </w:pPr>
      <w:r w:rsidRPr="008060C8">
        <w:rPr>
          <w:rFonts w:ascii="Verdana" w:hAnsi="Verdana"/>
          <w:b/>
          <w:bCs/>
          <w:sz w:val="22"/>
          <w:szCs w:val="22"/>
        </w:rPr>
        <w:t>PARA:</w:t>
      </w:r>
      <w:r>
        <w:rPr>
          <w:rFonts w:ascii="Verdana" w:hAnsi="Verdana"/>
          <w:sz w:val="22"/>
          <w:szCs w:val="22"/>
        </w:rPr>
        <w:t xml:space="preserve"> </w:t>
      </w:r>
      <w:r w:rsidRPr="008060C8">
        <w:rPr>
          <w:rFonts w:ascii="Verdana" w:hAnsi="Verdana"/>
          <w:sz w:val="22"/>
          <w:szCs w:val="22"/>
        </w:rPr>
        <w:t>Coordinadora Grupo Financiero</w:t>
      </w:r>
      <w:r>
        <w:rPr>
          <w:rFonts w:ascii="Verdana" w:hAnsi="Verdana"/>
          <w:sz w:val="22"/>
          <w:szCs w:val="22"/>
        </w:rPr>
        <w:t xml:space="preserve"> - </w:t>
      </w:r>
      <w:r w:rsidRPr="008060C8">
        <w:rPr>
          <w:rFonts w:ascii="Verdana" w:hAnsi="Verdana"/>
          <w:sz w:val="22"/>
          <w:szCs w:val="22"/>
        </w:rPr>
        <w:t>Regional ICBF Córdoba</w:t>
      </w:r>
    </w:p>
    <w:p w14:paraId="1B662E67" w14:textId="7D0F744B" w:rsidR="008060C8" w:rsidRDefault="008060C8" w:rsidP="008060C8">
      <w:pPr>
        <w:spacing w:line="240" w:lineRule="auto"/>
        <w:jc w:val="both"/>
        <w:rPr>
          <w:rFonts w:ascii="Verdana" w:hAnsi="Verdana"/>
          <w:sz w:val="22"/>
          <w:szCs w:val="22"/>
        </w:rPr>
      </w:pPr>
      <w:r w:rsidRPr="008060C8">
        <w:rPr>
          <w:rFonts w:ascii="Verdana" w:hAnsi="Verdana"/>
          <w:b/>
          <w:bCs/>
          <w:sz w:val="22"/>
          <w:szCs w:val="22"/>
        </w:rPr>
        <w:t>ASUNTO:</w:t>
      </w:r>
      <w:r>
        <w:rPr>
          <w:rFonts w:ascii="Verdana" w:hAnsi="Verdana"/>
          <w:sz w:val="22"/>
          <w:szCs w:val="22"/>
        </w:rPr>
        <w:t xml:space="preserve"> </w:t>
      </w:r>
      <w:r w:rsidRPr="008060C8">
        <w:rPr>
          <w:rFonts w:ascii="Verdana" w:hAnsi="Verdana"/>
          <w:sz w:val="22"/>
          <w:szCs w:val="22"/>
        </w:rPr>
        <w:t>Requisitos para el otorgamiento de licencia de funcionamiento por parte del ICBF.</w:t>
      </w:r>
      <w:r>
        <w:rPr>
          <w:rFonts w:ascii="Verdana" w:hAnsi="Verdana"/>
          <w:sz w:val="22"/>
          <w:szCs w:val="22"/>
        </w:rPr>
        <w:t xml:space="preserve"> </w:t>
      </w:r>
    </w:p>
    <w:p w14:paraId="79D30277" w14:textId="77777777" w:rsidR="008060C8" w:rsidRPr="008060C8" w:rsidRDefault="008060C8" w:rsidP="008060C8">
      <w:pPr>
        <w:spacing w:line="240" w:lineRule="auto"/>
        <w:jc w:val="both"/>
        <w:rPr>
          <w:rFonts w:ascii="Verdana" w:hAnsi="Verdana"/>
          <w:sz w:val="22"/>
          <w:szCs w:val="22"/>
        </w:rPr>
      </w:pPr>
    </w:p>
    <w:p w14:paraId="19A06125" w14:textId="72149A09"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De manera atenta, en relación con el asunto de la referencia, en los términos previstos en los artículos </w:t>
      </w:r>
      <w:r w:rsidRPr="008060C8">
        <w:rPr>
          <w:rFonts w:ascii="Verdana" w:hAnsi="Verdana"/>
          <w:sz w:val="22"/>
          <w:szCs w:val="22"/>
        </w:rPr>
        <w:t>26</w:t>
      </w:r>
      <w:r w:rsidRPr="001A3BD7">
        <w:rPr>
          <w:rFonts w:ascii="Verdana" w:hAnsi="Verdana"/>
          <w:sz w:val="22"/>
          <w:szCs w:val="22"/>
        </w:rPr>
        <w:t> del Código Civil, </w:t>
      </w:r>
      <w:r w:rsidRPr="008060C8">
        <w:rPr>
          <w:rFonts w:ascii="Verdana" w:hAnsi="Verdana"/>
          <w:sz w:val="22"/>
          <w:szCs w:val="22"/>
        </w:rPr>
        <w:t>13</w:t>
      </w:r>
      <w:r w:rsidRPr="001A3BD7">
        <w:rPr>
          <w:rFonts w:ascii="Verdana" w:hAnsi="Verdana"/>
          <w:sz w:val="22"/>
          <w:szCs w:val="22"/>
        </w:rPr>
        <w:t> y ss. del Código de Procedimiento Administrativo y de lo Contencioso Administrativo, y 6o, numeral 4, del Decreto 987 de 2012, se responde la consulta sobre el caso en cuestión, en los términos que siguen:</w:t>
      </w:r>
    </w:p>
    <w:p w14:paraId="7B4A726C" w14:textId="77777777" w:rsidR="008060C8" w:rsidRDefault="008060C8" w:rsidP="001A3BD7">
      <w:pPr>
        <w:spacing w:line="240" w:lineRule="auto"/>
        <w:jc w:val="both"/>
        <w:rPr>
          <w:rFonts w:ascii="Verdana" w:hAnsi="Verdana"/>
          <w:b/>
          <w:bCs/>
          <w:sz w:val="22"/>
          <w:szCs w:val="22"/>
          <w:u w:val="single"/>
        </w:rPr>
      </w:pPr>
    </w:p>
    <w:p w14:paraId="38BB86B5" w14:textId="7483B1D7"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u w:val="single"/>
        </w:rPr>
        <w:t>1. PROBLEMA JURÍDICO</w:t>
      </w:r>
    </w:p>
    <w:p w14:paraId="0D2BA56C"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¿Qué requisitos debe cumplir una organización de naturaleza cooperativa para que el ICBF le otorgue licencia de funcionamiento?</w:t>
      </w:r>
    </w:p>
    <w:p w14:paraId="135D11E1" w14:textId="77777777" w:rsidR="008060C8" w:rsidRDefault="008060C8" w:rsidP="001A3BD7">
      <w:pPr>
        <w:spacing w:line="240" w:lineRule="auto"/>
        <w:jc w:val="both"/>
        <w:rPr>
          <w:rFonts w:ascii="Verdana" w:hAnsi="Verdana"/>
          <w:b/>
          <w:bCs/>
          <w:sz w:val="22"/>
          <w:szCs w:val="22"/>
          <w:u w:val="single"/>
        </w:rPr>
      </w:pPr>
    </w:p>
    <w:p w14:paraId="5E75E7A4" w14:textId="02F1DAA1"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u w:val="single"/>
        </w:rPr>
        <w:t>2. ANÁLISIS DEL PROBLEMA JURÍDICO</w:t>
      </w:r>
    </w:p>
    <w:p w14:paraId="6C445C63"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El presente problema jurídico se abordará de la siguiente forma: (2.1) Competencia del ICBF en la expedición, de licencias de funcionamiento; (2.2) El Servicio Público de Bienestar Familiar y (2.3) La Resolución No. 3899 de 2010, requisitos para la expedición de la licencia de funcionamiento.</w:t>
      </w:r>
    </w:p>
    <w:p w14:paraId="4B687F8B" w14:textId="77777777" w:rsidR="008060C8" w:rsidRDefault="008060C8" w:rsidP="001A3BD7">
      <w:pPr>
        <w:spacing w:line="240" w:lineRule="auto"/>
        <w:jc w:val="both"/>
        <w:rPr>
          <w:rFonts w:ascii="Verdana" w:hAnsi="Verdana"/>
          <w:b/>
          <w:bCs/>
          <w:sz w:val="22"/>
          <w:szCs w:val="22"/>
          <w:u w:val="single"/>
        </w:rPr>
      </w:pPr>
    </w:p>
    <w:p w14:paraId="15992BB1" w14:textId="662242C5"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u w:val="single"/>
        </w:rPr>
        <w:t>(2.1) Competencia del ICBF en la expedición de licencias de funcionamiento</w:t>
      </w:r>
    </w:p>
    <w:p w14:paraId="302DE42B" w14:textId="0521BD4F"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El artículo </w:t>
      </w:r>
      <w:r w:rsidRPr="008060C8">
        <w:rPr>
          <w:rFonts w:ascii="Verdana" w:hAnsi="Verdana"/>
          <w:sz w:val="22"/>
          <w:szCs w:val="22"/>
        </w:rPr>
        <w:t>50</w:t>
      </w:r>
      <w:r w:rsidRPr="001A3BD7">
        <w:rPr>
          <w:rFonts w:ascii="Verdana" w:hAnsi="Verdana"/>
          <w:sz w:val="22"/>
          <w:szCs w:val="22"/>
        </w:rPr>
        <w:t>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6B97084E" w14:textId="29F7494C"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El artículo </w:t>
      </w:r>
      <w:r w:rsidRPr="008060C8">
        <w:rPr>
          <w:rFonts w:ascii="Verdana" w:hAnsi="Verdana"/>
          <w:sz w:val="22"/>
          <w:szCs w:val="22"/>
        </w:rPr>
        <w:t>21</w:t>
      </w:r>
      <w:r w:rsidRPr="001A3BD7">
        <w:rPr>
          <w:rFonts w:ascii="Verdana" w:hAnsi="Verdana"/>
          <w:sz w:val="22"/>
          <w:szCs w:val="22"/>
        </w:rPr>
        <w:t> de la Ley 7</w:t>
      </w:r>
      <w:r w:rsidRPr="001A3BD7">
        <w:rPr>
          <w:rFonts w:ascii="Verdana" w:hAnsi="Verdana"/>
          <w:sz w:val="22"/>
          <w:szCs w:val="22"/>
          <w:vertAlign w:val="subscript"/>
        </w:rPr>
        <w:t>[1]</w:t>
      </w:r>
      <w:r w:rsidRPr="001A3BD7">
        <w:rPr>
          <w:rFonts w:ascii="Verdana" w:hAnsi="Verdana"/>
          <w:sz w:val="22"/>
          <w:szCs w:val="22"/>
        </w:rPr>
        <w:t> de 1979, al señalar las funciones asignadas al ICBF, incluyó en el numeral 6 la de asistir al presidente de la República</w:t>
      </w:r>
      <w:r w:rsidRPr="001A3BD7">
        <w:rPr>
          <w:rFonts w:ascii="Verdana" w:hAnsi="Verdana"/>
          <w:sz w:val="22"/>
          <w:szCs w:val="22"/>
          <w:vertAlign w:val="subscript"/>
        </w:rPr>
        <w:t>[2]</w:t>
      </w:r>
      <w:r w:rsidRPr="001A3BD7">
        <w:rPr>
          <w:rFonts w:ascii="Verdana" w:hAnsi="Verdana"/>
          <w:sz w:val="22"/>
          <w:szCs w:val="22"/>
        </w:rPr>
        <w:t> </w:t>
      </w:r>
      <w:r w:rsidRPr="001A3BD7">
        <w:rPr>
          <w:rFonts w:ascii="Verdana" w:hAnsi="Verdana"/>
          <w:i/>
          <w:iCs/>
          <w:sz w:val="22"/>
          <w:szCs w:val="22"/>
        </w:rPr>
        <w:t>en la inspección y vigilancia sobre las instituciones de utilidad común que tengan como objetivo la protección de la familia, los niños, las niñas y los adolescentes.</w:t>
      </w:r>
      <w:r w:rsidRPr="001A3BD7">
        <w:rPr>
          <w:rFonts w:ascii="Verdana" w:hAnsi="Verdana"/>
          <w:sz w:val="22"/>
          <w:szCs w:val="22"/>
        </w:rPr>
        <w:t> Dicha función fue fortalecida en al artículo </w:t>
      </w:r>
      <w:r w:rsidRPr="008060C8">
        <w:rPr>
          <w:rFonts w:ascii="Verdana" w:hAnsi="Verdana"/>
          <w:sz w:val="22"/>
          <w:szCs w:val="22"/>
        </w:rPr>
        <w:t>16</w:t>
      </w:r>
      <w:r w:rsidRPr="001A3BD7">
        <w:rPr>
          <w:rFonts w:ascii="Verdana" w:hAnsi="Verdana"/>
          <w:sz w:val="22"/>
          <w:szCs w:val="22"/>
        </w:rPr>
        <w:t> de la Ley 1098 de 2006 al señalar que: "</w:t>
      </w:r>
      <w:r w:rsidRPr="001A3BD7">
        <w:rPr>
          <w:rFonts w:ascii="Verdana" w:hAnsi="Verdana"/>
          <w:i/>
          <w:iCs/>
          <w:sz w:val="22"/>
          <w:szCs w:val="22"/>
        </w:rPr>
        <w:t xml:space="preserve">todas las personas naturales o jurídicas, con personería jurídica expedida por el Instituto Colombiano de Bienestar Familiar o sin ella, que aún con autorización </w:t>
      </w:r>
      <w:r w:rsidRPr="001A3BD7">
        <w:rPr>
          <w:rFonts w:ascii="Verdana" w:hAnsi="Verdana"/>
          <w:i/>
          <w:iCs/>
          <w:sz w:val="22"/>
          <w:szCs w:val="22"/>
        </w:rPr>
        <w:lastRenderedPageBreak/>
        <w:t>de los padres o representantes legales alberguen o cuiden</w:t>
      </w:r>
      <w:r w:rsidRPr="001A3BD7">
        <w:rPr>
          <w:rFonts w:ascii="Verdana" w:hAnsi="Verdana"/>
          <w:sz w:val="22"/>
          <w:szCs w:val="22"/>
        </w:rPr>
        <w:t> a </w:t>
      </w:r>
      <w:r w:rsidRPr="001A3BD7">
        <w:rPr>
          <w:rFonts w:ascii="Verdana" w:hAnsi="Verdana"/>
          <w:i/>
          <w:iCs/>
          <w:sz w:val="22"/>
          <w:szCs w:val="22"/>
        </w:rPr>
        <w:t>los niños, niñas y adolescentes son sujetos de la vigilancia del Estado”.</w:t>
      </w:r>
    </w:p>
    <w:p w14:paraId="1C268B81" w14:textId="3A4F7AD2"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En cumplimiento de lo anterior el numeral 8 del artículo </w:t>
      </w:r>
      <w:r w:rsidRPr="008060C8">
        <w:rPr>
          <w:rFonts w:ascii="Verdana" w:hAnsi="Verdana"/>
          <w:sz w:val="22"/>
          <w:szCs w:val="22"/>
        </w:rPr>
        <w:t>21</w:t>
      </w:r>
      <w:r w:rsidRPr="001A3BD7">
        <w:rPr>
          <w:rFonts w:ascii="Verdana" w:hAnsi="Verdana"/>
          <w:sz w:val="22"/>
          <w:szCs w:val="22"/>
        </w:rPr>
        <w:t> de la Ley </w:t>
      </w:r>
      <w:r w:rsidRPr="001A3BD7">
        <w:rPr>
          <w:rFonts w:ascii="Verdana" w:hAnsi="Verdana"/>
          <w:i/>
          <w:iCs/>
          <w:sz w:val="22"/>
          <w:szCs w:val="22"/>
        </w:rPr>
        <w:t>7</w:t>
      </w:r>
      <w:r w:rsidRPr="001A3BD7">
        <w:rPr>
          <w:rFonts w:ascii="Verdana" w:hAnsi="Verdana"/>
          <w:sz w:val="22"/>
          <w:szCs w:val="22"/>
        </w:rPr>
        <w:t>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0DC28E63"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Igualmente el Decreto 276</w:t>
      </w:r>
      <w:r w:rsidRPr="001A3BD7">
        <w:rPr>
          <w:rFonts w:ascii="Verdana" w:hAnsi="Verdana"/>
          <w:sz w:val="22"/>
          <w:szCs w:val="22"/>
          <w:vertAlign w:val="subscript"/>
        </w:rPr>
        <w:t>[3]</w:t>
      </w:r>
      <w:r w:rsidRPr="001A3BD7">
        <w:rPr>
          <w:rFonts w:ascii="Verdana" w:hAnsi="Verdana"/>
          <w:sz w:val="22"/>
          <w:szCs w:val="22"/>
        </w:rPr>
        <w:t> de 1988, estableció en su artículo 2 como una de las funciones del ICBF (...) </w:t>
      </w:r>
      <w:r w:rsidRPr="001A3BD7">
        <w:rPr>
          <w:rFonts w:ascii="Verdana" w:hAnsi="Verdana"/>
          <w:i/>
          <w:iCs/>
          <w:sz w:val="22"/>
          <w:szCs w:val="22"/>
        </w:rPr>
        <w:t>n) Otorgar, conceder y suspender personerías jurídicas y licencias de funcionamiento a las Instituciones de utilidad común, que presten el servicio de Bienestar Familiar.</w:t>
      </w:r>
    </w:p>
    <w:p w14:paraId="7BDD1A1E" w14:textId="65B34840"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El inciso 2 del artículo </w:t>
      </w:r>
      <w:r w:rsidRPr="008060C8">
        <w:rPr>
          <w:rFonts w:ascii="Verdana" w:hAnsi="Verdana"/>
          <w:sz w:val="22"/>
          <w:szCs w:val="22"/>
        </w:rPr>
        <w:t>16</w:t>
      </w:r>
      <w:r w:rsidRPr="001A3BD7">
        <w:rPr>
          <w:rFonts w:ascii="Verdana" w:hAnsi="Verdana"/>
          <w:sz w:val="22"/>
          <w:szCs w:val="22"/>
        </w:rPr>
        <w:t> del Código de la Infancia y la Adolescencia señala: </w:t>
      </w:r>
      <w:r w:rsidRPr="001A3BD7">
        <w:rPr>
          <w:rFonts w:ascii="Verdana" w:hAnsi="Verdana"/>
          <w:i/>
          <w:iCs/>
          <w:sz w:val="22"/>
          <w:szCs w:val="22"/>
        </w:rPr>
        <w:t>“(...)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6C3FECE7" w14:textId="0096F675"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En este sentido mediante Resolución No. </w:t>
      </w:r>
      <w:r w:rsidRPr="008060C8">
        <w:rPr>
          <w:rFonts w:ascii="Verdana" w:hAnsi="Verdana"/>
          <w:sz w:val="22"/>
          <w:szCs w:val="22"/>
        </w:rPr>
        <w:t>3899</w:t>
      </w:r>
      <w:r w:rsidRPr="001A3BD7">
        <w:rPr>
          <w:rFonts w:ascii="Verdana" w:hAnsi="Verdana"/>
          <w:sz w:val="22"/>
          <w:szCs w:val="22"/>
        </w:rPr>
        <w:t> del 8 de septiembre de 2010,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prestar servicios de adopción internacional.</w:t>
      </w:r>
    </w:p>
    <w:p w14:paraId="6B704B6F" w14:textId="3B4E33D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En virtud de lo establecido en el artículo </w:t>
      </w:r>
      <w:r w:rsidRPr="008060C8">
        <w:rPr>
          <w:rFonts w:ascii="Verdana" w:hAnsi="Verdana"/>
          <w:sz w:val="22"/>
          <w:szCs w:val="22"/>
        </w:rPr>
        <w:t>2</w:t>
      </w:r>
      <w:r w:rsidRPr="001A3BD7">
        <w:rPr>
          <w:rFonts w:ascii="Verdana" w:hAnsi="Verdana"/>
          <w:sz w:val="22"/>
          <w:szCs w:val="22"/>
        </w:rPr>
        <w:t> de la citada resolución, </w:t>
      </w:r>
      <w:r w:rsidRPr="001A3BD7">
        <w:rPr>
          <w:rFonts w:ascii="Verdana" w:hAnsi="Verdana"/>
          <w:b/>
          <w:bCs/>
          <w:sz w:val="22"/>
          <w:szCs w:val="22"/>
        </w:rPr>
        <w:t>sus disposiciones se aplican a</w:t>
      </w:r>
      <w:r w:rsidRPr="001A3BD7">
        <w:rPr>
          <w:rFonts w:ascii="Verdana" w:hAnsi="Verdana"/>
          <w:sz w:val="22"/>
          <w:szCs w:val="22"/>
        </w:rPr>
        <w:t> </w:t>
      </w:r>
      <w:r w:rsidRPr="001A3BD7">
        <w:rPr>
          <w:rFonts w:ascii="Verdana" w:hAnsi="Verdana"/>
          <w:i/>
          <w:iCs/>
          <w:sz w:val="22"/>
          <w:szCs w:val="22"/>
          <w:u w:val="single"/>
        </w:rPr>
        <w:t>“(...) las personas jurídicas</w:t>
      </w:r>
      <w:r w:rsidRPr="001A3BD7">
        <w:rPr>
          <w:rFonts w:ascii="Verdana" w:hAnsi="Verdana"/>
          <w:sz w:val="22"/>
          <w:szCs w:val="22"/>
        </w:rPr>
        <w:t> </w:t>
      </w:r>
      <w:r w:rsidRPr="001A3BD7">
        <w:rPr>
          <w:rFonts w:ascii="Verdana" w:hAnsi="Verdana"/>
          <w:i/>
          <w:iCs/>
          <w:sz w:val="22"/>
          <w:szCs w:val="22"/>
        </w:rPr>
        <w:t>nacionales o internacionales que presten servicios de protección integral dirigidos a niños, niñas o adolescentes</w:t>
      </w:r>
      <w:r w:rsidRPr="001A3BD7">
        <w:rPr>
          <w:rFonts w:ascii="Verdana" w:hAnsi="Verdana"/>
          <w:sz w:val="22"/>
          <w:szCs w:val="22"/>
        </w:rPr>
        <w:t> </w:t>
      </w:r>
      <w:r w:rsidRPr="001A3BD7">
        <w:rPr>
          <w:rFonts w:ascii="Verdana" w:hAnsi="Verdana"/>
          <w:i/>
          <w:iCs/>
          <w:sz w:val="22"/>
          <w:szCs w:val="22"/>
        </w:rPr>
        <w:t>y</w:t>
      </w:r>
      <w:r w:rsidRPr="001A3BD7">
        <w:rPr>
          <w:rFonts w:ascii="Verdana" w:hAnsi="Verdana"/>
          <w:sz w:val="22"/>
          <w:szCs w:val="22"/>
        </w:rPr>
        <w:t> a </w:t>
      </w:r>
      <w:r w:rsidRPr="001A3BD7">
        <w:rPr>
          <w:rFonts w:ascii="Verdana" w:hAnsi="Verdana"/>
          <w:i/>
          <w:iCs/>
          <w:sz w:val="22"/>
          <w:szCs w:val="22"/>
        </w:rPr>
        <w:t>sus familias en "el territorio nacional, bien sea que cuenten con personería jurídica expedida por el ICBF o por autoridades diferentes, sin perjuicio de los regímenes especiales o excepcionales que rijan</w:t>
      </w:r>
      <w:r w:rsidRPr="001A3BD7">
        <w:rPr>
          <w:rFonts w:ascii="Verdana" w:hAnsi="Verdana"/>
          <w:sz w:val="22"/>
          <w:szCs w:val="22"/>
        </w:rPr>
        <w:t> a </w:t>
      </w:r>
      <w:r w:rsidRPr="001A3BD7">
        <w:rPr>
          <w:rFonts w:ascii="Verdana" w:hAnsi="Verdana"/>
          <w:i/>
          <w:iCs/>
          <w:sz w:val="22"/>
          <w:szCs w:val="22"/>
        </w:rPr>
        <w:t>poblaciones especiales tales como afro- colombianas, indígenas, raizales y ROM.</w:t>
      </w:r>
    </w:p>
    <w:p w14:paraId="4E0AC25B"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En este sentido es claro que la licencia de funcionamiento es aplicable exclusivamente a las personas jurídicas.</w:t>
      </w:r>
    </w:p>
    <w:p w14:paraId="1D8082AF" w14:textId="77777777" w:rsidR="008060C8" w:rsidRDefault="008060C8" w:rsidP="001A3BD7">
      <w:pPr>
        <w:spacing w:line="240" w:lineRule="auto"/>
        <w:jc w:val="both"/>
        <w:rPr>
          <w:rFonts w:ascii="Verdana" w:hAnsi="Verdana"/>
          <w:b/>
          <w:bCs/>
          <w:sz w:val="22"/>
          <w:szCs w:val="22"/>
          <w:u w:val="single"/>
        </w:rPr>
      </w:pPr>
    </w:p>
    <w:p w14:paraId="0DCEFF98" w14:textId="16E2FFEA"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u w:val="single"/>
        </w:rPr>
        <w:t>(2.2) El Servicio Público de Bienestar Familiar</w:t>
      </w:r>
    </w:p>
    <w:p w14:paraId="59301839"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1A3BD7">
        <w:rPr>
          <w:rFonts w:ascii="Verdana" w:hAnsi="Verdana"/>
          <w:sz w:val="22"/>
          <w:szCs w:val="22"/>
          <w:vertAlign w:val="subscript"/>
        </w:rPr>
        <w:t>[4]</w:t>
      </w:r>
    </w:p>
    <w:p w14:paraId="251E30C7" w14:textId="3BE5A763"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lastRenderedPageBreak/>
        <w:t>El artículo </w:t>
      </w:r>
      <w:r w:rsidRPr="008060C8">
        <w:rPr>
          <w:rFonts w:ascii="Verdana" w:hAnsi="Verdana"/>
          <w:sz w:val="22"/>
          <w:szCs w:val="22"/>
        </w:rPr>
        <w:t>205</w:t>
      </w:r>
      <w:r w:rsidRPr="001A3BD7">
        <w:rPr>
          <w:rFonts w:ascii="Verdana" w:hAnsi="Verdana"/>
          <w:sz w:val="22"/>
          <w:szCs w:val="22"/>
        </w:rPr>
        <w:t>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los mismos en los ámbitos nacional, departamental, distrital y municipal.</w:t>
      </w:r>
    </w:p>
    <w:p w14:paraId="1242159E" w14:textId="08FEE69F"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El Decreto </w:t>
      </w:r>
      <w:r w:rsidRPr="008060C8">
        <w:rPr>
          <w:rFonts w:ascii="Verdana" w:hAnsi="Verdana"/>
          <w:sz w:val="22"/>
          <w:szCs w:val="22"/>
        </w:rPr>
        <w:t>936</w:t>
      </w:r>
      <w:r w:rsidRPr="001A3BD7">
        <w:rPr>
          <w:rFonts w:ascii="Verdana" w:hAnsi="Verdana"/>
          <w:sz w:val="22"/>
          <w:szCs w:val="22"/>
        </w:rPr>
        <w:t> de 2013</w:t>
      </w:r>
      <w:r w:rsidRPr="001A3BD7">
        <w:rPr>
          <w:rFonts w:ascii="Verdana" w:hAnsi="Verdana"/>
          <w:sz w:val="22"/>
          <w:szCs w:val="22"/>
          <w:vertAlign w:val="subscript"/>
        </w:rPr>
        <w:t>[5]</w:t>
      </w:r>
      <w:r w:rsidRPr="001A3BD7">
        <w:rPr>
          <w:rFonts w:ascii="Verdana" w:hAnsi="Verdana"/>
          <w:sz w:val="22"/>
          <w:szCs w:val="22"/>
        </w:rPr>
        <w:t> establece los principios rectores del Sistema Nacional de Bienestar Familiar, indicando que:</w:t>
      </w:r>
    </w:p>
    <w:p w14:paraId="0C440147" w14:textId="1B8B7E47"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t>"El Sistema Nacional de Bienestar Familiar está regido por las normas constitucionales de garantía de los derechos de niños, niñas y adolescentes, y de prevalencia de los derechos de la niñez, establecidos en el artículo </w:t>
      </w:r>
      <w:r w:rsidRPr="008060C8">
        <w:rPr>
          <w:rFonts w:ascii="Verdana" w:hAnsi="Verdana"/>
          <w:i/>
          <w:iCs/>
          <w:sz w:val="22"/>
          <w:szCs w:val="22"/>
        </w:rPr>
        <w:t>44</w:t>
      </w:r>
      <w:r w:rsidRPr="001A3BD7">
        <w:rPr>
          <w:rFonts w:ascii="Verdana" w:hAnsi="Verdana"/>
          <w:i/>
          <w:iCs/>
          <w:sz w:val="22"/>
          <w:szCs w:val="22"/>
        </w:rPr>
        <w:t> de la Carta Política; por la Ley </w:t>
      </w:r>
      <w:r w:rsidRPr="008060C8">
        <w:rPr>
          <w:rFonts w:ascii="Verdana" w:hAnsi="Verdana"/>
          <w:i/>
          <w:iCs/>
          <w:sz w:val="22"/>
          <w:szCs w:val="22"/>
        </w:rPr>
        <w:t>12</w:t>
      </w:r>
      <w:r w:rsidRPr="001A3BD7">
        <w:rPr>
          <w:rFonts w:ascii="Verdana" w:hAnsi="Verdana"/>
          <w:i/>
          <w:iCs/>
          <w:sz w:val="22"/>
          <w:szCs w:val="22"/>
        </w:rPr>
        <w:t>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w:t>
      </w:r>
      <w:r w:rsidRPr="008060C8">
        <w:rPr>
          <w:rFonts w:ascii="Verdana" w:hAnsi="Verdana"/>
          <w:i/>
          <w:iCs/>
          <w:sz w:val="22"/>
          <w:szCs w:val="22"/>
        </w:rPr>
        <w:t>7</w:t>
      </w:r>
      <w:r w:rsidRPr="001A3BD7">
        <w:rPr>
          <w:rFonts w:ascii="Verdana" w:hAnsi="Verdana"/>
          <w:i/>
          <w:iCs/>
          <w:sz w:val="22"/>
          <w:szCs w:val="22"/>
        </w:rPr>
        <w:t>, </w:t>
      </w:r>
      <w:r w:rsidRPr="008060C8">
        <w:rPr>
          <w:rFonts w:ascii="Verdana" w:hAnsi="Verdana"/>
          <w:i/>
          <w:iCs/>
          <w:sz w:val="22"/>
          <w:szCs w:val="22"/>
        </w:rPr>
        <w:t>8</w:t>
      </w:r>
      <w:r w:rsidRPr="001A3BD7">
        <w:rPr>
          <w:rFonts w:ascii="Verdana" w:hAnsi="Verdana"/>
          <w:i/>
          <w:iCs/>
          <w:sz w:val="22"/>
          <w:szCs w:val="22"/>
        </w:rPr>
        <w:t>, </w:t>
      </w:r>
      <w:r w:rsidRPr="008060C8">
        <w:rPr>
          <w:rFonts w:ascii="Verdana" w:hAnsi="Verdana"/>
          <w:i/>
          <w:iCs/>
          <w:sz w:val="22"/>
          <w:szCs w:val="22"/>
        </w:rPr>
        <w:t>9</w:t>
      </w:r>
      <w:r w:rsidRPr="001A3BD7">
        <w:rPr>
          <w:rFonts w:ascii="Verdana" w:hAnsi="Verdana"/>
          <w:i/>
          <w:iCs/>
          <w:sz w:val="22"/>
          <w:szCs w:val="22"/>
        </w:rPr>
        <w:t>, </w:t>
      </w:r>
      <w:r w:rsidRPr="008060C8">
        <w:rPr>
          <w:rFonts w:ascii="Verdana" w:hAnsi="Verdana"/>
          <w:i/>
          <w:iCs/>
          <w:sz w:val="22"/>
          <w:szCs w:val="22"/>
        </w:rPr>
        <w:t>10</w:t>
      </w:r>
      <w:r w:rsidRPr="001A3BD7">
        <w:rPr>
          <w:rFonts w:ascii="Verdana" w:hAnsi="Verdana"/>
          <w:i/>
          <w:iCs/>
          <w:sz w:val="22"/>
          <w:szCs w:val="22"/>
        </w:rPr>
        <w:t>, </w:t>
      </w:r>
      <w:r w:rsidRPr="008060C8">
        <w:rPr>
          <w:rFonts w:ascii="Verdana" w:hAnsi="Verdana"/>
          <w:i/>
          <w:iCs/>
          <w:sz w:val="22"/>
          <w:szCs w:val="22"/>
        </w:rPr>
        <w:t>11</w:t>
      </w:r>
      <w:r w:rsidRPr="001A3BD7">
        <w:rPr>
          <w:rFonts w:ascii="Verdana" w:hAnsi="Verdana"/>
          <w:i/>
          <w:iCs/>
          <w:sz w:val="22"/>
          <w:szCs w:val="22"/>
        </w:rPr>
        <w:t> y </w:t>
      </w:r>
      <w:r w:rsidRPr="008060C8">
        <w:rPr>
          <w:rFonts w:ascii="Verdana" w:hAnsi="Verdana"/>
          <w:i/>
          <w:iCs/>
          <w:sz w:val="22"/>
          <w:szCs w:val="22"/>
        </w:rPr>
        <w:t>12</w:t>
      </w:r>
      <w:r w:rsidRPr="001A3BD7">
        <w:rPr>
          <w:rFonts w:ascii="Verdana" w:hAnsi="Verdana"/>
          <w:i/>
          <w:iCs/>
          <w:sz w:val="22"/>
          <w:szCs w:val="22"/>
        </w:rPr>
        <w:t> de la Ley 1098 de 2006, y por los principios rectores de las políticas públicas de infancia, adolescencia y familia previstos en el artículo </w:t>
      </w:r>
      <w:r w:rsidRPr="008060C8">
        <w:rPr>
          <w:rFonts w:ascii="Verdana" w:hAnsi="Verdana"/>
          <w:i/>
          <w:iCs/>
          <w:sz w:val="22"/>
          <w:szCs w:val="22"/>
        </w:rPr>
        <w:t>203</w:t>
      </w:r>
      <w:r w:rsidRPr="001A3BD7">
        <w:rPr>
          <w:rFonts w:ascii="Verdana" w:hAnsi="Verdana"/>
          <w:i/>
          <w:iCs/>
          <w:sz w:val="22"/>
          <w:szCs w:val="22"/>
        </w:rPr>
        <w:t> de la misma ley”.</w:t>
      </w:r>
    </w:p>
    <w:p w14:paraId="27F1C115"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En el marco de la necesaria articulación y coordinación el mismo Decreto dispone los objetivos del Sistema Nacional de Bienestar Familiar, así:</w:t>
      </w:r>
    </w:p>
    <w:p w14:paraId="008916A1"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 Lograr la protección integral de la primera infancia, la infancia y la adolescencia y promover el fortalecimiento familiar a través de una respuesta articulada y oportuna del Estado bajo el principio de corresponsabilidad con la familia y la sociedad.</w:t>
      </w:r>
    </w:p>
    <w:p w14:paraId="2635C35B"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 Promover la formulación, implementación, seguimiento y evaluación de políticas de primera infancia, infancia y adolescencia y fortalecimiento familiar en los ámbitos nacional y territorial con enfoque diferencial.</w:t>
      </w:r>
    </w:p>
    <w:p w14:paraId="77943B9E"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 Lograr que la primera infancia, la infancia y la adolescencia y el fortalecimiento familiar sean una prioridad social, política, técnica y financiera en el ámbito nacional y territorial.</w:t>
      </w:r>
    </w:p>
    <w:p w14:paraId="0CC025A2"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 Mejorar el ejercicio de la participación y movilización social en tomo a la protección integral de la primera infancia, la infancia, la adolescencia y el fortalecimiento familiar en los niveles nacional y territorial.</w:t>
      </w:r>
    </w:p>
    <w:p w14:paraId="42707212"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 Evaluar y hacer seguimiento del estado de realización de derechos de los niños, niñas y adolescentes.</w:t>
      </w:r>
    </w:p>
    <w:p w14:paraId="6ED4FB8C" w14:textId="36ECB0AB"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En relación a lo anterior y teniendo en cuenta que mediante el Decreto </w:t>
      </w:r>
      <w:r w:rsidRPr="008060C8">
        <w:rPr>
          <w:rFonts w:ascii="Verdana" w:hAnsi="Verdana"/>
          <w:sz w:val="22"/>
          <w:szCs w:val="22"/>
        </w:rPr>
        <w:t>2388</w:t>
      </w:r>
      <w:r w:rsidRPr="001A3BD7">
        <w:rPr>
          <w:rFonts w:ascii="Verdana" w:hAnsi="Verdana"/>
          <w:sz w:val="22"/>
          <w:szCs w:val="22"/>
        </w:rPr>
        <w:t> de 1979, se reglamentan las Leyes </w:t>
      </w:r>
      <w:r w:rsidRPr="008060C8">
        <w:rPr>
          <w:rFonts w:ascii="Verdana" w:hAnsi="Verdana"/>
          <w:sz w:val="22"/>
          <w:szCs w:val="22"/>
        </w:rPr>
        <w:t>75</w:t>
      </w:r>
      <w:r w:rsidRPr="001A3BD7">
        <w:rPr>
          <w:rFonts w:ascii="Verdana" w:hAnsi="Verdana"/>
          <w:sz w:val="22"/>
          <w:szCs w:val="22"/>
        </w:rPr>
        <w:t> de 1968, </w:t>
      </w:r>
      <w:r w:rsidRPr="008060C8">
        <w:rPr>
          <w:rFonts w:ascii="Verdana" w:hAnsi="Verdana"/>
          <w:sz w:val="22"/>
          <w:szCs w:val="22"/>
        </w:rPr>
        <w:t>27</w:t>
      </w:r>
      <w:r w:rsidRPr="001A3BD7">
        <w:rPr>
          <w:rFonts w:ascii="Verdana" w:hAnsi="Verdana"/>
          <w:sz w:val="22"/>
          <w:szCs w:val="22"/>
        </w:rPr>
        <w:t> de 1974 y </w:t>
      </w:r>
      <w:r w:rsidRPr="008060C8">
        <w:rPr>
          <w:rFonts w:ascii="Verdana" w:hAnsi="Verdana"/>
          <w:sz w:val="22"/>
          <w:szCs w:val="22"/>
        </w:rPr>
        <w:t>7</w:t>
      </w:r>
      <w:r w:rsidRPr="001A3BD7">
        <w:rPr>
          <w:rFonts w:ascii="Verdana" w:hAnsi="Verdana"/>
          <w:sz w:val="22"/>
          <w:szCs w:val="22"/>
        </w:rPr>
        <w:t>o de 1979 se dispuso entre otras cosas que:</w:t>
      </w:r>
    </w:p>
    <w:p w14:paraId="7BC30FFC" w14:textId="77777777"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rPr>
        <w:t>Artículo 6</w:t>
      </w:r>
      <w:r w:rsidRPr="001A3BD7">
        <w:rPr>
          <w:rFonts w:ascii="Verdana" w:hAnsi="Verdana"/>
          <w:sz w:val="22"/>
          <w:szCs w:val="22"/>
        </w:rPr>
        <w:t>. Integran el Sistema Nacional de Bienestar Familiar;</w:t>
      </w:r>
    </w:p>
    <w:p w14:paraId="05492692"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a) El Instituto Colombiano de Bienestar Familiar (ICBF) sus regionales o agencias en los Departamentos, en el Distrito Especial de Bogotá, en las Intendencias, Comisarías y en los Municipios;</w:t>
      </w:r>
    </w:p>
    <w:p w14:paraId="6259516E"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lastRenderedPageBreak/>
        <w:t>(…)</w:t>
      </w:r>
    </w:p>
    <w:p w14:paraId="1795D11D" w14:textId="6ACACA09"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rPr>
        <w:t>Artículo </w:t>
      </w:r>
      <w:r w:rsidRPr="008060C8">
        <w:rPr>
          <w:rFonts w:ascii="Verdana" w:hAnsi="Verdana"/>
          <w:sz w:val="22"/>
          <w:szCs w:val="22"/>
        </w:rPr>
        <w:t>8</w:t>
      </w:r>
      <w:r w:rsidRPr="001A3BD7">
        <w:rPr>
          <w:rFonts w:ascii="Verdana" w:hAnsi="Verdana"/>
          <w:sz w:val="22"/>
          <w:szCs w:val="22"/>
        </w:rPr>
        <w:t>. Hacen parte también del Sistema Nacional de Bienestar Familiar las entidades públicas o privadas, de carácter nacional, distrital, departamental, comisarial, intendencial o municipal, que habitualmente realicen actividades relacionadas con la protección preventiva y especial del menor, la garantía de sus derechos y la realización e integración armónica de la familia.</w:t>
      </w:r>
    </w:p>
    <w:p w14:paraId="69840B71" w14:textId="7A0A52C6"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Artículo </w:t>
      </w:r>
      <w:r w:rsidRPr="008060C8">
        <w:rPr>
          <w:rFonts w:ascii="Verdana" w:hAnsi="Verdana"/>
          <w:sz w:val="22"/>
          <w:szCs w:val="22"/>
        </w:rPr>
        <w:t>12</w:t>
      </w:r>
      <w:r w:rsidRPr="001A3BD7">
        <w:rPr>
          <w:rFonts w:ascii="Verdana" w:hAnsi="Verdana"/>
          <w:sz w:val="22"/>
          <w:szCs w:val="22"/>
        </w:rPr>
        <w:t>. Las actividades que realicen las entidades mencionadas en los artículos anteriores, deberán cumplirse con estricta sujeción a las normas del servició y a los reglamentos dictados por el ICBF.</w:t>
      </w:r>
    </w:p>
    <w:p w14:paraId="09B7D9F3" w14:textId="6D27DF5E"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Artículo </w:t>
      </w:r>
      <w:r w:rsidRPr="008060C8">
        <w:rPr>
          <w:rFonts w:ascii="Verdana" w:hAnsi="Verdana"/>
          <w:sz w:val="22"/>
          <w:szCs w:val="22"/>
        </w:rPr>
        <w:t>20</w:t>
      </w:r>
      <w:r w:rsidRPr="001A3BD7">
        <w:rPr>
          <w:rFonts w:ascii="Verdana" w:hAnsi="Verdana"/>
          <w:sz w:val="22"/>
          <w:szCs w:val="22"/>
        </w:rPr>
        <w:t>. De conformidad con lo previsto en la ley </w:t>
      </w:r>
      <w:r w:rsidRPr="008060C8">
        <w:rPr>
          <w:rFonts w:ascii="Verdana" w:hAnsi="Verdana"/>
          <w:sz w:val="22"/>
          <w:szCs w:val="22"/>
        </w:rPr>
        <w:t>7</w:t>
      </w:r>
      <w:r w:rsidRPr="001A3BD7">
        <w:rPr>
          <w:rFonts w:ascii="Verdana" w:hAnsi="Verdana"/>
          <w:sz w:val="22"/>
          <w:szCs w:val="22"/>
        </w:rPr>
        <w:t> de 1979 y de modo especial en los artículos </w:t>
      </w:r>
      <w:r w:rsidRPr="008060C8">
        <w:rPr>
          <w:rFonts w:ascii="Verdana" w:hAnsi="Verdana"/>
          <w:sz w:val="22"/>
          <w:szCs w:val="22"/>
        </w:rPr>
        <w:t>12</w:t>
      </w:r>
      <w:r w:rsidRPr="001A3BD7">
        <w:rPr>
          <w:rFonts w:ascii="Verdana" w:hAnsi="Verdana"/>
          <w:sz w:val="22"/>
          <w:szCs w:val="22"/>
        </w:rPr>
        <w:t>, </w:t>
      </w:r>
      <w:r w:rsidRPr="008060C8">
        <w:rPr>
          <w:rFonts w:ascii="Verdana" w:hAnsi="Verdana"/>
          <w:sz w:val="22"/>
          <w:szCs w:val="22"/>
        </w:rPr>
        <w:t>14</w:t>
      </w:r>
      <w:r w:rsidRPr="001A3BD7">
        <w:rPr>
          <w:rFonts w:ascii="Verdana" w:hAnsi="Verdana"/>
          <w:sz w:val="22"/>
          <w:szCs w:val="22"/>
        </w:rPr>
        <w:t>, </w:t>
      </w:r>
      <w:r w:rsidRPr="008060C8">
        <w:rPr>
          <w:rFonts w:ascii="Verdana" w:hAnsi="Verdana"/>
          <w:sz w:val="22"/>
          <w:szCs w:val="22"/>
        </w:rPr>
        <w:t>15</w:t>
      </w:r>
      <w:r w:rsidRPr="001A3BD7">
        <w:rPr>
          <w:rFonts w:ascii="Verdana" w:hAnsi="Verdana"/>
          <w:sz w:val="22"/>
          <w:szCs w:val="22"/>
        </w:rPr>
        <w:t>, </w:t>
      </w:r>
      <w:r w:rsidRPr="008060C8">
        <w:rPr>
          <w:rFonts w:ascii="Verdana" w:hAnsi="Verdana"/>
          <w:sz w:val="22"/>
          <w:szCs w:val="22"/>
        </w:rPr>
        <w:t>19</w:t>
      </w:r>
      <w:r w:rsidRPr="001A3BD7">
        <w:rPr>
          <w:rFonts w:ascii="Verdana" w:hAnsi="Verdana"/>
          <w:sz w:val="22"/>
          <w:szCs w:val="22"/>
        </w:rPr>
        <w:t>, </w:t>
      </w:r>
      <w:r w:rsidRPr="008060C8">
        <w:rPr>
          <w:rFonts w:ascii="Verdana" w:hAnsi="Verdana"/>
          <w:sz w:val="22"/>
          <w:szCs w:val="22"/>
        </w:rPr>
        <w:t>20</w:t>
      </w:r>
      <w:r w:rsidRPr="001A3BD7">
        <w:rPr>
          <w:rFonts w:ascii="Verdana" w:hAnsi="Verdana"/>
          <w:sz w:val="22"/>
          <w:szCs w:val="22"/>
        </w:rPr>
        <w:t> y </w:t>
      </w:r>
      <w:r w:rsidRPr="008060C8">
        <w:rPr>
          <w:rFonts w:ascii="Verdana" w:hAnsi="Verdana"/>
          <w:sz w:val="22"/>
          <w:szCs w:val="22"/>
        </w:rPr>
        <w:t>21</w:t>
      </w:r>
      <w:r w:rsidRPr="001A3BD7">
        <w:rPr>
          <w:rFonts w:ascii="Verdana" w:hAnsi="Verdana"/>
          <w:sz w:val="22"/>
          <w:szCs w:val="22"/>
        </w:rPr>
        <w:t>, la dirección del Sistema Nacional de Bienestar Familiar está a cargo del ICBF. En ejercicio de ella le corresponde:</w:t>
      </w:r>
    </w:p>
    <w:p w14:paraId="6D310854"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w:t>
      </w:r>
    </w:p>
    <w:p w14:paraId="0D19828B"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9. Supervisar y controlar el funcionamiento de las entidades que constituyen el sistema y prestarle asesoría a las mismas.</w:t>
      </w:r>
    </w:p>
    <w:p w14:paraId="26B1C412" w14:textId="74534073"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Artículo </w:t>
      </w:r>
      <w:r w:rsidRPr="008060C8">
        <w:rPr>
          <w:rFonts w:ascii="Verdana" w:hAnsi="Verdana"/>
          <w:sz w:val="22"/>
          <w:szCs w:val="22"/>
        </w:rPr>
        <w:t>27</w:t>
      </w:r>
      <w:r w:rsidRPr="001A3BD7">
        <w:rPr>
          <w:rFonts w:ascii="Verdana" w:hAnsi="Verdana"/>
          <w:sz w:val="22"/>
          <w:szCs w:val="22"/>
        </w:rPr>
        <w:t>. A partir de la vigencia del presente decreto, todos los organismos instituciones, agencias o entidades de carácter público o privado, que cumplan actividades de las mencionadas en el artículo </w:t>
      </w:r>
      <w:r w:rsidRPr="008060C8">
        <w:rPr>
          <w:rFonts w:ascii="Verdana" w:hAnsi="Verdana"/>
          <w:sz w:val="22"/>
          <w:szCs w:val="22"/>
        </w:rPr>
        <w:t>8</w:t>
      </w:r>
      <w:r w:rsidRPr="001A3BD7">
        <w:rPr>
          <w:rFonts w:ascii="Verdana" w:hAnsi="Verdana"/>
          <w:sz w:val="22"/>
          <w:szCs w:val="22"/>
        </w:rPr>
        <w:t>o., deberán ceñirse a las normas del Sistema Nacional de Bienestar Familiar.</w:t>
      </w:r>
    </w:p>
    <w:p w14:paraId="03F631D9" w14:textId="77777777" w:rsidR="008060C8" w:rsidRDefault="008060C8" w:rsidP="001A3BD7">
      <w:pPr>
        <w:spacing w:line="240" w:lineRule="auto"/>
        <w:jc w:val="both"/>
        <w:rPr>
          <w:rFonts w:ascii="Verdana" w:hAnsi="Verdana"/>
          <w:b/>
          <w:bCs/>
          <w:sz w:val="22"/>
          <w:szCs w:val="22"/>
          <w:u w:val="single"/>
        </w:rPr>
      </w:pPr>
    </w:p>
    <w:p w14:paraId="0CBBBB83" w14:textId="7610F78F"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u w:val="single"/>
        </w:rPr>
        <w:t>(2.3) La Resolución No. </w:t>
      </w:r>
      <w:r w:rsidRPr="008060C8">
        <w:rPr>
          <w:rFonts w:ascii="Verdana" w:hAnsi="Verdana"/>
          <w:sz w:val="22"/>
          <w:szCs w:val="22"/>
          <w:u w:val="single"/>
        </w:rPr>
        <w:t>3899</w:t>
      </w:r>
      <w:r w:rsidRPr="001A3BD7">
        <w:rPr>
          <w:rFonts w:ascii="Verdana" w:hAnsi="Verdana"/>
          <w:b/>
          <w:bCs/>
          <w:sz w:val="22"/>
          <w:szCs w:val="22"/>
          <w:u w:val="single"/>
        </w:rPr>
        <w:t> de 2010, requisitos para la expedición de la licencia de</w:t>
      </w:r>
      <w:r w:rsidRPr="001A3BD7">
        <w:rPr>
          <w:rFonts w:ascii="Verdana" w:hAnsi="Verdana"/>
          <w:b/>
          <w:bCs/>
          <w:sz w:val="22"/>
          <w:szCs w:val="22"/>
        </w:rPr>
        <w:t> </w:t>
      </w:r>
      <w:r w:rsidRPr="001A3BD7">
        <w:rPr>
          <w:rFonts w:ascii="Verdana" w:hAnsi="Verdana"/>
          <w:b/>
          <w:bCs/>
          <w:sz w:val="22"/>
          <w:szCs w:val="22"/>
          <w:u w:val="single"/>
        </w:rPr>
        <w:t>funcionamiento</w:t>
      </w:r>
    </w:p>
    <w:p w14:paraId="19154352" w14:textId="6663763D"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El artículo </w:t>
      </w:r>
      <w:r w:rsidRPr="008060C8">
        <w:rPr>
          <w:rFonts w:ascii="Verdana" w:hAnsi="Verdana"/>
          <w:sz w:val="22"/>
          <w:szCs w:val="22"/>
        </w:rPr>
        <w:t>16</w:t>
      </w:r>
      <w:r w:rsidRPr="001A3BD7">
        <w:rPr>
          <w:rFonts w:ascii="Verdana" w:hAnsi="Verdana"/>
          <w:sz w:val="22"/>
          <w:szCs w:val="22"/>
        </w:rPr>
        <w:t> del Código de la Infancia y la Adolescencia establece, que:</w:t>
      </w:r>
    </w:p>
    <w:p w14:paraId="5FC45324" w14:textId="77777777"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t>(…) De acuerdo con las normas que regulan la prestación del Servicio Público de Bienestar Familiar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09B66852"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Con base en lo anterior el ICBF establece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35CCB5E8" w14:textId="13613E7D"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El capítulo II artículo </w:t>
      </w:r>
      <w:r w:rsidRPr="008060C8">
        <w:rPr>
          <w:rFonts w:ascii="Verdana" w:hAnsi="Verdana"/>
          <w:sz w:val="22"/>
          <w:szCs w:val="22"/>
        </w:rPr>
        <w:t>15</w:t>
      </w:r>
      <w:r w:rsidRPr="001A3BD7">
        <w:rPr>
          <w:rFonts w:ascii="Verdana" w:hAnsi="Verdana"/>
          <w:sz w:val="22"/>
          <w:szCs w:val="22"/>
        </w:rPr>
        <w:t> de la mencionada .resolución, indica que para que una persona jurídica obtenga licencia de funcionamiento deberá cumplir con los siguientes requisitos legales:</w:t>
      </w:r>
    </w:p>
    <w:p w14:paraId="096B4DE4" w14:textId="77777777"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lastRenderedPageBreak/>
        <w:t>"1. Contar con personería jurídica vigente.</w:t>
      </w:r>
    </w:p>
    <w:p w14:paraId="7497D7AD" w14:textId="2E3D5964"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t>2. Tener los estatutos vigentes conforme a las especificaciones dispuestas en el numeral 2 del artículo </w:t>
      </w:r>
      <w:r w:rsidRPr="008060C8">
        <w:rPr>
          <w:rFonts w:ascii="Verdana" w:hAnsi="Verdana"/>
          <w:i/>
          <w:iCs/>
          <w:sz w:val="22"/>
          <w:szCs w:val="22"/>
        </w:rPr>
        <w:t>7</w:t>
      </w:r>
      <w:r w:rsidRPr="001A3BD7">
        <w:rPr>
          <w:rFonts w:ascii="Verdana" w:hAnsi="Verdana"/>
          <w:i/>
          <w:iCs/>
          <w:sz w:val="22"/>
          <w:szCs w:val="22"/>
        </w:rPr>
        <w:t> de la presente resolución.</w:t>
      </w:r>
    </w:p>
    <w:p w14:paraId="0039FC5E" w14:textId="77777777"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t>3. Contar con representación legal vigente, expedida por la autoridad competente, con la aceptación de la elección, nombramiento o cargo, junto con la fotocopia del documento de identidad, así como la hoja de vida con soportes de la experiencia laboral en el área de los programas que desarrollen y los diplomas o certificados de formación en pregrado o posgrado.</w:t>
      </w:r>
    </w:p>
    <w:p w14:paraId="4B9340A5" w14:textId="77777777"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t>4. Presentar los Certificados de Antecedentes Penales, Disciplinarios y Fiscales expedidos por las autoridades competentes, en donde conste que no tienen sanciones ni inhabilidades o impedimentos para desempeñar sus funciones.</w:t>
      </w:r>
    </w:p>
    <w:p w14:paraId="6B23D102" w14:textId="77777777"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t>5. Contar con los documentos soportes de la conformación de la Junta Directiva, Consejo</w:t>
      </w:r>
      <w:r w:rsidRPr="001A3BD7">
        <w:rPr>
          <w:rFonts w:ascii="Verdana" w:hAnsi="Verdana"/>
          <w:sz w:val="22"/>
          <w:szCs w:val="22"/>
        </w:rPr>
        <w:t> </w:t>
      </w:r>
      <w:r w:rsidRPr="001A3BD7">
        <w:rPr>
          <w:rFonts w:ascii="Verdana" w:hAnsi="Verdana"/>
          <w:i/>
          <w:iCs/>
          <w:sz w:val="22"/>
          <w:szCs w:val="22"/>
        </w:rPr>
        <w:t>de Fundadores o quien haga sus veces, con aceptación de la elección o nombramiento o cargo, junto con fotocopia del documento de identidad, y los Certificados de Antecedentes Penales, Disciplinarios y Fiscales, expedidos por las autoridades competentes, en donde conste que no tienen sanciones ni inhabilidades o impedimentos para desempeñar sus funciones.</w:t>
      </w:r>
    </w:p>
    <w:p w14:paraId="58162480" w14:textId="77777777"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t>6. Presentar los Certificados de Antecedentes Penales, Disciplinarios y Fiscales, de todo el personal vinculado al servicio, expedidos por las autoridades competentes, en donde conste que no tienen sanciones ni inhabilidades o impedimentos para desempeñar sus funciones.</w:t>
      </w:r>
    </w:p>
    <w:p w14:paraId="64831631" w14:textId="1BAE9BB5" w:rsidR="001A3BD7" w:rsidRPr="001A3BD7" w:rsidRDefault="001A3BD7" w:rsidP="001A3BD7">
      <w:pPr>
        <w:spacing w:line="240" w:lineRule="auto"/>
        <w:jc w:val="both"/>
        <w:rPr>
          <w:rFonts w:ascii="Verdana" w:hAnsi="Verdana"/>
          <w:sz w:val="22"/>
          <w:szCs w:val="22"/>
        </w:rPr>
      </w:pPr>
      <w:r w:rsidRPr="001A3BD7">
        <w:rPr>
          <w:rFonts w:ascii="Verdana" w:hAnsi="Verdana"/>
          <w:i/>
          <w:iCs/>
          <w:sz w:val="22"/>
          <w:szCs w:val="22"/>
        </w:rPr>
        <w:t>7. Tener los comprobantes de cumplimiento de compromisos fiscales de la persona jurídica. De acuerdo a lo estipulado en el artículo </w:t>
      </w:r>
      <w:r w:rsidRPr="008060C8">
        <w:rPr>
          <w:rFonts w:ascii="Verdana" w:hAnsi="Verdana"/>
          <w:i/>
          <w:iCs/>
          <w:sz w:val="22"/>
          <w:szCs w:val="22"/>
        </w:rPr>
        <w:t>574</w:t>
      </w:r>
      <w:r w:rsidRPr="001A3BD7">
        <w:rPr>
          <w:rFonts w:ascii="Verdana" w:hAnsi="Verdana"/>
          <w:i/>
          <w:iCs/>
          <w:sz w:val="22"/>
          <w:szCs w:val="22"/>
        </w:rPr>
        <w:t> del Estatuto Tributario, se citan los siguientes compromisos fiscales que debe presentar la persona Jurídica: Declaración Anual de Impuesto de Renta y Complementarios, Declaración Bimestral de Impuesto a las Ventas, Declaración Mensual de Retención en la Fuente, Declaración de Impuesto de Timbre, Declaración Bimestral de Industria y Comercio, Declaración de Impuesto predial''.</w:t>
      </w:r>
    </w:p>
    <w:p w14:paraId="2B0EE918" w14:textId="77777777" w:rsidR="008060C8" w:rsidRDefault="008060C8" w:rsidP="001A3BD7">
      <w:pPr>
        <w:spacing w:line="240" w:lineRule="auto"/>
        <w:jc w:val="both"/>
        <w:rPr>
          <w:rFonts w:ascii="Verdana" w:hAnsi="Verdana"/>
          <w:b/>
          <w:bCs/>
          <w:sz w:val="22"/>
          <w:szCs w:val="22"/>
          <w:u w:val="single"/>
        </w:rPr>
      </w:pPr>
    </w:p>
    <w:p w14:paraId="13F751E3" w14:textId="662B6D59"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u w:val="single"/>
        </w:rPr>
        <w:t>3. CONCLUSIÓN</w:t>
      </w:r>
    </w:p>
    <w:p w14:paraId="120D1D27"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Teniendo en cuenta las consideraciones de orden legal expuestas se puede concluir lo siguiente:</w:t>
      </w:r>
    </w:p>
    <w:p w14:paraId="1C2410AD" w14:textId="35EDE6A4"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Primero: El ICBF otorga licencia de funcionamiento atadas aquellas personas jurídicas sin ánimo de lucro, que cuenten con los requisitos legales, técnico -administrativos y financieros establecidos en la Resolución No. </w:t>
      </w:r>
      <w:r w:rsidRPr="008060C8">
        <w:rPr>
          <w:rFonts w:ascii="Verdana" w:hAnsi="Verdana"/>
          <w:sz w:val="22"/>
          <w:szCs w:val="22"/>
        </w:rPr>
        <w:t>3899</w:t>
      </w:r>
      <w:r w:rsidRPr="001A3BD7">
        <w:rPr>
          <w:rFonts w:ascii="Verdana" w:hAnsi="Verdana"/>
          <w:sz w:val="22"/>
          <w:szCs w:val="22"/>
        </w:rPr>
        <w:t> de 2010.</w:t>
      </w:r>
    </w:p>
    <w:p w14:paraId="2EA07678"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Para el caso en concreto el registro de la cooperativa mencionada, no es un requisito legal exigido por el ICBF, quien debe verificar el cumplimiento del mismo es la Superintendencia de Economía Solidaria, en atención a su función de inspección, vigilancia y control.</w:t>
      </w:r>
    </w:p>
    <w:p w14:paraId="5CEDA738" w14:textId="743302C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El presente concepto</w:t>
      </w:r>
      <w:r w:rsidRPr="001A3BD7">
        <w:rPr>
          <w:rFonts w:ascii="Verdana" w:hAnsi="Verdana"/>
          <w:sz w:val="22"/>
          <w:szCs w:val="22"/>
          <w:vertAlign w:val="subscript"/>
        </w:rPr>
        <w:t>[7]</w:t>
      </w:r>
      <w:r w:rsidRPr="001A3BD7">
        <w:rPr>
          <w:rFonts w:ascii="Verdana" w:hAnsi="Verdana"/>
          <w:sz w:val="22"/>
          <w:szCs w:val="22"/>
        </w:rPr>
        <w:t xml:space="preserve"> no es de obligatorio cumplimiento o ejecución para particulares o agentes externos, de conformidad con lo establecido en el </w:t>
      </w:r>
      <w:r w:rsidRPr="001A3BD7">
        <w:rPr>
          <w:rFonts w:ascii="Verdana" w:hAnsi="Verdana"/>
          <w:sz w:val="22"/>
          <w:szCs w:val="22"/>
        </w:rPr>
        <w:lastRenderedPageBreak/>
        <w:t>artículo </w:t>
      </w:r>
      <w:r w:rsidRPr="008060C8">
        <w:rPr>
          <w:rFonts w:ascii="Verdana" w:hAnsi="Verdana"/>
          <w:sz w:val="22"/>
          <w:szCs w:val="22"/>
        </w:rPr>
        <w:t>28</w:t>
      </w:r>
      <w:r w:rsidRPr="001A3BD7">
        <w:rPr>
          <w:rFonts w:ascii="Verdana" w:hAnsi="Verdana"/>
          <w:sz w:val="22"/>
          <w:szCs w:val="22"/>
        </w:rPr>
        <w:t> de la ley 1437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doctrinaría e impartir las directrices jurídicas necesarias para el desarrollo de las funciones del Instituto, de conformidad con los numerales 8 y 15 del Decreto </w:t>
      </w:r>
      <w:r w:rsidRPr="008060C8">
        <w:rPr>
          <w:rFonts w:ascii="Verdana" w:hAnsi="Verdana"/>
          <w:sz w:val="22"/>
          <w:szCs w:val="22"/>
        </w:rPr>
        <w:t>987</w:t>
      </w:r>
      <w:r w:rsidRPr="001A3BD7">
        <w:rPr>
          <w:rFonts w:ascii="Verdana" w:hAnsi="Verdana"/>
          <w:sz w:val="22"/>
          <w:szCs w:val="22"/>
        </w:rPr>
        <w:t> de 2012.</w:t>
      </w:r>
    </w:p>
    <w:p w14:paraId="1182E8D8" w14:textId="77777777" w:rsidR="008060C8" w:rsidRDefault="008060C8" w:rsidP="001A3BD7">
      <w:pPr>
        <w:spacing w:line="240" w:lineRule="auto"/>
        <w:jc w:val="both"/>
        <w:rPr>
          <w:rFonts w:ascii="Verdana" w:hAnsi="Verdana"/>
          <w:sz w:val="22"/>
          <w:szCs w:val="22"/>
        </w:rPr>
      </w:pPr>
    </w:p>
    <w:p w14:paraId="2434F014" w14:textId="0539B289"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Cordialmente,</w:t>
      </w:r>
    </w:p>
    <w:p w14:paraId="74F20F16" w14:textId="77777777" w:rsidR="008060C8" w:rsidRDefault="008060C8" w:rsidP="001A3BD7">
      <w:pPr>
        <w:spacing w:line="240" w:lineRule="auto"/>
        <w:jc w:val="both"/>
        <w:rPr>
          <w:rFonts w:ascii="Verdana" w:hAnsi="Verdana"/>
          <w:b/>
          <w:bCs/>
          <w:sz w:val="22"/>
          <w:szCs w:val="22"/>
        </w:rPr>
      </w:pPr>
    </w:p>
    <w:p w14:paraId="1DEAF5DA" w14:textId="36BFBE3E" w:rsidR="001A3BD7" w:rsidRPr="001A3BD7" w:rsidRDefault="001A3BD7" w:rsidP="001A3BD7">
      <w:pPr>
        <w:spacing w:line="240" w:lineRule="auto"/>
        <w:jc w:val="both"/>
        <w:rPr>
          <w:rFonts w:ascii="Verdana" w:hAnsi="Verdana"/>
          <w:sz w:val="22"/>
          <w:szCs w:val="22"/>
        </w:rPr>
      </w:pPr>
      <w:r w:rsidRPr="001A3BD7">
        <w:rPr>
          <w:rFonts w:ascii="Verdana" w:hAnsi="Verdana"/>
          <w:b/>
          <w:bCs/>
          <w:sz w:val="22"/>
          <w:szCs w:val="22"/>
        </w:rPr>
        <w:t>LUZ KARIME FERNANDEZ CASTILLO</w:t>
      </w:r>
    </w:p>
    <w:p w14:paraId="59E663B7" w14:textId="77777777" w:rsidR="001A3BD7" w:rsidRPr="001A3BD7" w:rsidRDefault="001A3BD7" w:rsidP="001A3BD7">
      <w:pPr>
        <w:spacing w:line="240" w:lineRule="auto"/>
        <w:jc w:val="both"/>
        <w:rPr>
          <w:rFonts w:ascii="Verdana" w:hAnsi="Verdana"/>
          <w:sz w:val="22"/>
          <w:szCs w:val="22"/>
        </w:rPr>
      </w:pPr>
      <w:r w:rsidRPr="001A3BD7">
        <w:rPr>
          <w:rFonts w:ascii="Verdana" w:hAnsi="Verdana"/>
          <w:sz w:val="22"/>
          <w:szCs w:val="22"/>
        </w:rPr>
        <w:t>Jefe Oficina Asesora Jurídica</w:t>
      </w:r>
    </w:p>
    <w:p w14:paraId="6AF79298" w14:textId="77777777" w:rsidR="008060C8" w:rsidRDefault="008060C8" w:rsidP="001A3BD7">
      <w:pPr>
        <w:spacing w:line="240" w:lineRule="auto"/>
        <w:jc w:val="both"/>
        <w:rPr>
          <w:rFonts w:ascii="Verdana" w:hAnsi="Verdana"/>
          <w:b/>
          <w:bCs/>
          <w:sz w:val="22"/>
          <w:szCs w:val="22"/>
        </w:rPr>
      </w:pPr>
    </w:p>
    <w:p w14:paraId="768C542B" w14:textId="6E3B1092" w:rsidR="001A3BD7" w:rsidRPr="008060C8" w:rsidRDefault="008060C8" w:rsidP="001A3BD7">
      <w:pPr>
        <w:spacing w:line="240" w:lineRule="auto"/>
        <w:jc w:val="both"/>
        <w:rPr>
          <w:rFonts w:ascii="Verdana" w:hAnsi="Verdana"/>
          <w:b/>
          <w:bCs/>
          <w:sz w:val="22"/>
          <w:szCs w:val="22"/>
        </w:rPr>
      </w:pPr>
      <w:r w:rsidRPr="008060C8">
        <w:rPr>
          <w:rFonts w:ascii="Verdana" w:hAnsi="Verdana"/>
          <w:b/>
          <w:bCs/>
          <w:sz w:val="22"/>
          <w:szCs w:val="22"/>
        </w:rPr>
        <w:t xml:space="preserve">Notas Pie de Página: </w:t>
      </w:r>
    </w:p>
    <w:p w14:paraId="0085FD05" w14:textId="40437ADC" w:rsidR="001A3BD7" w:rsidRPr="008060C8" w:rsidRDefault="001A3BD7" w:rsidP="008060C8">
      <w:pPr>
        <w:pStyle w:val="Prrafodelista"/>
        <w:numPr>
          <w:ilvl w:val="0"/>
          <w:numId w:val="41"/>
        </w:numPr>
        <w:spacing w:line="240" w:lineRule="auto"/>
        <w:jc w:val="both"/>
        <w:rPr>
          <w:rFonts w:ascii="Verdana" w:hAnsi="Verdana"/>
          <w:sz w:val="22"/>
          <w:szCs w:val="22"/>
        </w:rPr>
      </w:pPr>
      <w:r w:rsidRPr="008060C8">
        <w:rPr>
          <w:rFonts w:ascii="Verdana" w:hAnsi="Verdana"/>
          <w:sz w:val="22"/>
          <w:szCs w:val="22"/>
        </w:rPr>
        <w:t>Por la cual se dictan normas para la protección de la niñez, se establece el Sistema nacional de Bienestar Familiar se reorganiza el Instituto Colombiano de Bienestar Familiar y se dictan otras disposiciones.</w:t>
      </w:r>
    </w:p>
    <w:p w14:paraId="2F4864FC" w14:textId="240D0E43" w:rsidR="001A3BD7" w:rsidRPr="008060C8" w:rsidRDefault="001A3BD7" w:rsidP="008060C8">
      <w:pPr>
        <w:pStyle w:val="Prrafodelista"/>
        <w:numPr>
          <w:ilvl w:val="0"/>
          <w:numId w:val="41"/>
        </w:numPr>
        <w:spacing w:line="240" w:lineRule="auto"/>
        <w:jc w:val="both"/>
        <w:rPr>
          <w:rFonts w:ascii="Verdana" w:hAnsi="Verdana"/>
          <w:sz w:val="22"/>
          <w:szCs w:val="22"/>
        </w:rPr>
      </w:pPr>
      <w:r w:rsidRPr="008060C8">
        <w:rPr>
          <w:rFonts w:ascii="Verdana" w:hAnsi="Verdana"/>
          <w:sz w:val="22"/>
          <w:szCs w:val="22"/>
        </w:rPr>
        <w:t>Constitución Política artículo 189.</w:t>
      </w:r>
    </w:p>
    <w:p w14:paraId="0756EBEC" w14:textId="3A791167" w:rsidR="001A3BD7" w:rsidRPr="008060C8" w:rsidRDefault="001A3BD7" w:rsidP="008060C8">
      <w:pPr>
        <w:pStyle w:val="Prrafodelista"/>
        <w:numPr>
          <w:ilvl w:val="0"/>
          <w:numId w:val="41"/>
        </w:numPr>
        <w:spacing w:line="240" w:lineRule="auto"/>
        <w:jc w:val="both"/>
        <w:rPr>
          <w:rFonts w:ascii="Verdana" w:hAnsi="Verdana"/>
          <w:sz w:val="22"/>
          <w:szCs w:val="22"/>
        </w:rPr>
      </w:pPr>
      <w:r w:rsidRPr="008060C8">
        <w:rPr>
          <w:rFonts w:ascii="Verdana" w:hAnsi="Verdana"/>
          <w:sz w:val="22"/>
          <w:szCs w:val="22"/>
        </w:rPr>
        <w:t>Por el cual se modifica parcialmente los estatutos del Instituto Colombiano de Bienestar Familiar.</w:t>
      </w:r>
    </w:p>
    <w:p w14:paraId="2CA56995" w14:textId="566D326E" w:rsidR="001A3BD7" w:rsidRPr="008060C8" w:rsidRDefault="001A3BD7" w:rsidP="008060C8">
      <w:pPr>
        <w:pStyle w:val="Prrafodelista"/>
        <w:numPr>
          <w:ilvl w:val="0"/>
          <w:numId w:val="41"/>
        </w:numPr>
        <w:spacing w:line="240" w:lineRule="auto"/>
        <w:jc w:val="both"/>
        <w:rPr>
          <w:rFonts w:ascii="Verdana" w:hAnsi="Verdana"/>
          <w:sz w:val="22"/>
          <w:szCs w:val="22"/>
        </w:rPr>
      </w:pPr>
      <w:r w:rsidRPr="008060C8">
        <w:rPr>
          <w:rFonts w:ascii="Verdana" w:hAnsi="Verdana"/>
          <w:sz w:val="22"/>
          <w:szCs w:val="22"/>
        </w:rPr>
        <w:t>Decreto 936 de 2013</w:t>
      </w:r>
    </w:p>
    <w:p w14:paraId="60D034BC" w14:textId="50C0FE29" w:rsidR="001A3BD7" w:rsidRPr="008060C8" w:rsidRDefault="001A3BD7" w:rsidP="008060C8">
      <w:pPr>
        <w:pStyle w:val="Prrafodelista"/>
        <w:numPr>
          <w:ilvl w:val="0"/>
          <w:numId w:val="41"/>
        </w:numPr>
        <w:spacing w:line="240" w:lineRule="auto"/>
        <w:jc w:val="both"/>
        <w:rPr>
          <w:rFonts w:ascii="Verdana" w:hAnsi="Verdana"/>
          <w:sz w:val="22"/>
          <w:szCs w:val="22"/>
        </w:rPr>
      </w:pPr>
      <w:r w:rsidRPr="008060C8">
        <w:rPr>
          <w:rFonts w:ascii="Verdana" w:hAnsi="Verdana"/>
          <w:sz w:val="22"/>
          <w:szCs w:val="22"/>
        </w:rPr>
        <w:t>Por el cual se reorganiza el Sistema Nacional de Bienestar Familiar, se reglamenta el inciso primero del artículo 205 de la Ley 1098 de 2008 y se dictan otras disposiciones.</w:t>
      </w:r>
    </w:p>
    <w:p w14:paraId="2E83E9F3" w14:textId="3236B5BF" w:rsidR="001A3BD7" w:rsidRPr="008060C8" w:rsidRDefault="001A3BD7" w:rsidP="008060C8">
      <w:pPr>
        <w:pStyle w:val="Prrafodelista"/>
        <w:numPr>
          <w:ilvl w:val="0"/>
          <w:numId w:val="41"/>
        </w:numPr>
        <w:spacing w:line="240" w:lineRule="auto"/>
        <w:jc w:val="both"/>
        <w:rPr>
          <w:rFonts w:ascii="Verdana" w:hAnsi="Verdana"/>
          <w:sz w:val="22"/>
          <w:szCs w:val="22"/>
        </w:rPr>
      </w:pPr>
      <w:r w:rsidRPr="008060C8">
        <w:rPr>
          <w:rFonts w:ascii="Verdana" w:hAnsi="Verdana"/>
          <w:sz w:val="22"/>
          <w:szCs w:val="22"/>
        </w:rPr>
        <w:t xml:space="preserve">Como al realizar los referidas intervenciones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w:t>
      </w:r>
      <w:r w:rsidRPr="008060C8">
        <w:rPr>
          <w:rFonts w:ascii="Verdana" w:hAnsi="Verdana"/>
          <w:sz w:val="22"/>
          <w:szCs w:val="22"/>
        </w:rPr>
        <w:lastRenderedPageBreak/>
        <w:t>ello apareja. En tal virtud, deja de ser un concepto y se convierte en un acto administrativo, de una naturaleza igual o similar a las llamadas circulares o instrucciones de servicio." Corte Constitucional, Sentencia C - 877 de 2000, M P. Antonio Barrera Carbonell.</w:t>
      </w:r>
    </w:p>
    <w:p w14:paraId="5298B1E3" w14:textId="7A40DD3D" w:rsidR="00A724C4" w:rsidRPr="001A3BD7" w:rsidRDefault="00A724C4" w:rsidP="003F5ABD">
      <w:pPr>
        <w:spacing w:line="240" w:lineRule="auto"/>
        <w:jc w:val="both"/>
        <w:rPr>
          <w:rFonts w:ascii="Verdana" w:hAnsi="Verdana"/>
          <w:sz w:val="22"/>
          <w:szCs w:val="22"/>
        </w:rPr>
      </w:pPr>
    </w:p>
    <w:sectPr w:rsidR="00A724C4" w:rsidRPr="001A3B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073"/>
    <w:multiLevelType w:val="hybridMultilevel"/>
    <w:tmpl w:val="6076E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FA3A4D"/>
    <w:multiLevelType w:val="hybridMultilevel"/>
    <w:tmpl w:val="9B6AA9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200A8F"/>
    <w:multiLevelType w:val="hybridMultilevel"/>
    <w:tmpl w:val="507E5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18580D"/>
    <w:multiLevelType w:val="hybridMultilevel"/>
    <w:tmpl w:val="6E368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5"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616710"/>
    <w:multiLevelType w:val="hybridMultilevel"/>
    <w:tmpl w:val="460827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941E8D"/>
    <w:multiLevelType w:val="hybridMultilevel"/>
    <w:tmpl w:val="87BCD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0BA6FDD"/>
    <w:multiLevelType w:val="hybridMultilevel"/>
    <w:tmpl w:val="A524BE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74CD3A28"/>
    <w:multiLevelType w:val="hybridMultilevel"/>
    <w:tmpl w:val="8D6A8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203A6E"/>
    <w:multiLevelType w:val="hybridMultilevel"/>
    <w:tmpl w:val="8464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85F25DF"/>
    <w:multiLevelType w:val="hybridMultilevel"/>
    <w:tmpl w:val="6478E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28072E"/>
    <w:multiLevelType w:val="hybridMultilevel"/>
    <w:tmpl w:val="114258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E491144"/>
    <w:multiLevelType w:val="hybridMultilevel"/>
    <w:tmpl w:val="7D2ECA26"/>
    <w:lvl w:ilvl="0" w:tplc="CF1E4BF6">
      <w:start w:val="1"/>
      <w:numFmt w:val="decimal"/>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0912669">
    <w:abstractNumId w:val="17"/>
  </w:num>
  <w:num w:numId="2" w16cid:durableId="1745491304">
    <w:abstractNumId w:val="29"/>
  </w:num>
  <w:num w:numId="3" w16cid:durableId="789400598">
    <w:abstractNumId w:val="13"/>
  </w:num>
  <w:num w:numId="4" w16cid:durableId="1647081583">
    <w:abstractNumId w:val="21"/>
  </w:num>
  <w:num w:numId="5" w16cid:durableId="276790982">
    <w:abstractNumId w:val="24"/>
  </w:num>
  <w:num w:numId="6" w16cid:durableId="1366516931">
    <w:abstractNumId w:val="31"/>
  </w:num>
  <w:num w:numId="7" w16cid:durableId="1878153353">
    <w:abstractNumId w:val="30"/>
  </w:num>
  <w:num w:numId="8" w16cid:durableId="840657518">
    <w:abstractNumId w:val="6"/>
  </w:num>
  <w:num w:numId="9" w16cid:durableId="1535459510">
    <w:abstractNumId w:val="16"/>
  </w:num>
  <w:num w:numId="10" w16cid:durableId="1416827702">
    <w:abstractNumId w:val="12"/>
  </w:num>
  <w:num w:numId="11" w16cid:durableId="436220100">
    <w:abstractNumId w:val="25"/>
  </w:num>
  <w:num w:numId="12" w16cid:durableId="2115711228">
    <w:abstractNumId w:val="35"/>
  </w:num>
  <w:num w:numId="13" w16cid:durableId="1888057749">
    <w:abstractNumId w:val="22"/>
  </w:num>
  <w:num w:numId="14" w16cid:durableId="99032073">
    <w:abstractNumId w:val="9"/>
  </w:num>
  <w:num w:numId="15" w16cid:durableId="475295182">
    <w:abstractNumId w:val="20"/>
  </w:num>
  <w:num w:numId="16" w16cid:durableId="1787121813">
    <w:abstractNumId w:val="15"/>
  </w:num>
  <w:num w:numId="17" w16cid:durableId="1253930856">
    <w:abstractNumId w:val="23"/>
  </w:num>
  <w:num w:numId="18" w16cid:durableId="1353065628">
    <w:abstractNumId w:val="5"/>
  </w:num>
  <w:num w:numId="19" w16cid:durableId="1884362356">
    <w:abstractNumId w:val="32"/>
  </w:num>
  <w:num w:numId="20" w16cid:durableId="2014453309">
    <w:abstractNumId w:val="19"/>
  </w:num>
  <w:num w:numId="21" w16cid:durableId="1025444673">
    <w:abstractNumId w:val="1"/>
  </w:num>
  <w:num w:numId="22" w16cid:durableId="1798179994">
    <w:abstractNumId w:val="8"/>
  </w:num>
  <w:num w:numId="23" w16cid:durableId="2064206966">
    <w:abstractNumId w:val="4"/>
  </w:num>
  <w:num w:numId="24" w16cid:durableId="287785035">
    <w:abstractNumId w:val="11"/>
  </w:num>
  <w:num w:numId="25" w16cid:durableId="1026562665">
    <w:abstractNumId w:val="28"/>
  </w:num>
  <w:num w:numId="26" w16cid:durableId="970137955">
    <w:abstractNumId w:val="3"/>
  </w:num>
  <w:num w:numId="27" w16cid:durableId="1073352493">
    <w:abstractNumId w:val="7"/>
  </w:num>
  <w:num w:numId="28" w16cid:durableId="203518748">
    <w:abstractNumId w:val="27"/>
  </w:num>
  <w:num w:numId="29" w16cid:durableId="797115098">
    <w:abstractNumId w:val="14"/>
  </w:num>
  <w:num w:numId="30" w16cid:durableId="1532648440">
    <w:abstractNumId w:val="37"/>
  </w:num>
  <w:num w:numId="31" w16cid:durableId="150684757">
    <w:abstractNumId w:val="38"/>
  </w:num>
  <w:num w:numId="32" w16cid:durableId="762840029">
    <w:abstractNumId w:val="26"/>
  </w:num>
  <w:num w:numId="33" w16cid:durableId="716392040">
    <w:abstractNumId w:val="18"/>
  </w:num>
  <w:num w:numId="34" w16cid:durableId="395470587">
    <w:abstractNumId w:val="33"/>
  </w:num>
  <w:num w:numId="35" w16cid:durableId="826819460">
    <w:abstractNumId w:val="40"/>
  </w:num>
  <w:num w:numId="36" w16cid:durableId="743525767">
    <w:abstractNumId w:val="36"/>
  </w:num>
  <w:num w:numId="37" w16cid:durableId="897668283">
    <w:abstractNumId w:val="34"/>
  </w:num>
  <w:num w:numId="38" w16cid:durableId="327294193">
    <w:abstractNumId w:val="0"/>
  </w:num>
  <w:num w:numId="39" w16cid:durableId="1070889148">
    <w:abstractNumId w:val="10"/>
  </w:num>
  <w:num w:numId="40" w16cid:durableId="1555968930">
    <w:abstractNumId w:val="2"/>
  </w:num>
  <w:num w:numId="41" w16cid:durableId="10853046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27D97"/>
    <w:rsid w:val="00146F83"/>
    <w:rsid w:val="00181D66"/>
    <w:rsid w:val="001A21EC"/>
    <w:rsid w:val="001A3BD7"/>
    <w:rsid w:val="0020317C"/>
    <w:rsid w:val="0021626E"/>
    <w:rsid w:val="00243CB4"/>
    <w:rsid w:val="00266ECF"/>
    <w:rsid w:val="003071DE"/>
    <w:rsid w:val="0034018A"/>
    <w:rsid w:val="003757B6"/>
    <w:rsid w:val="003E14A4"/>
    <w:rsid w:val="003F5ABD"/>
    <w:rsid w:val="004032C9"/>
    <w:rsid w:val="00404622"/>
    <w:rsid w:val="00464D81"/>
    <w:rsid w:val="004B5C62"/>
    <w:rsid w:val="004C739F"/>
    <w:rsid w:val="00522476"/>
    <w:rsid w:val="00556F3D"/>
    <w:rsid w:val="005C1334"/>
    <w:rsid w:val="006002B6"/>
    <w:rsid w:val="006E53EF"/>
    <w:rsid w:val="007D5988"/>
    <w:rsid w:val="007F2817"/>
    <w:rsid w:val="008060C8"/>
    <w:rsid w:val="0083251A"/>
    <w:rsid w:val="008A241F"/>
    <w:rsid w:val="009159F9"/>
    <w:rsid w:val="0093086C"/>
    <w:rsid w:val="0099298F"/>
    <w:rsid w:val="009A02E2"/>
    <w:rsid w:val="009D6ED5"/>
    <w:rsid w:val="009E3B0B"/>
    <w:rsid w:val="00A674FF"/>
    <w:rsid w:val="00A724C4"/>
    <w:rsid w:val="00AD442C"/>
    <w:rsid w:val="00B31D81"/>
    <w:rsid w:val="00BF0383"/>
    <w:rsid w:val="00C13107"/>
    <w:rsid w:val="00C60F44"/>
    <w:rsid w:val="00D03B71"/>
    <w:rsid w:val="00D40E92"/>
    <w:rsid w:val="00D61345"/>
    <w:rsid w:val="00D96A0B"/>
    <w:rsid w:val="00E61C80"/>
    <w:rsid w:val="00E642C9"/>
    <w:rsid w:val="00E857BE"/>
    <w:rsid w:val="00E9099E"/>
    <w:rsid w:val="00EA7F32"/>
    <w:rsid w:val="00EC1640"/>
    <w:rsid w:val="00EE5641"/>
    <w:rsid w:val="00EF582B"/>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408D381E-9D18-4ABF-B5A2-B411C4C1CBB6}"/>
</file>

<file path=customXml/itemProps2.xml><?xml version="1.0" encoding="utf-8"?>
<ds:datastoreItem xmlns:ds="http://schemas.openxmlformats.org/officeDocument/2006/customXml" ds:itemID="{6A11ADE1-F885-42FF-8D1F-D886B78AFA5D}"/>
</file>

<file path=customXml/itemProps3.xml><?xml version="1.0" encoding="utf-8"?>
<ds:datastoreItem xmlns:ds="http://schemas.openxmlformats.org/officeDocument/2006/customXml" ds:itemID="{0CC32953-B4D1-428F-8782-DBA46BC2CD7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86</TotalTime>
  <Pages>7</Pages>
  <Words>2449</Words>
  <Characters>13472</Characters>
  <Application>Microsoft Office Word</Application>
  <DocSecurity>0</DocSecurity>
  <Lines>112</Lines>
  <Paragraphs>31</Paragraphs>
  <ScaleCrop>false</ScaleCrop>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45</cp:revision>
  <dcterms:created xsi:type="dcterms:W3CDTF">2026-05-08T19:08:00Z</dcterms:created>
  <dcterms:modified xsi:type="dcterms:W3CDTF">2026-07-07T22:09:00Z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