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355A" w14:textId="77777777" w:rsidR="00332615" w:rsidRPr="00332615" w:rsidRDefault="00332615" w:rsidP="00332615">
      <w:pPr>
        <w:jc w:val="center"/>
        <w:rPr>
          <w:rFonts w:ascii="Verdana" w:hAnsi="Verdana"/>
          <w:sz w:val="22"/>
          <w:szCs w:val="22"/>
        </w:rPr>
      </w:pPr>
      <w:r w:rsidRPr="00332615">
        <w:rPr>
          <w:rFonts w:ascii="Verdana" w:hAnsi="Verdana"/>
          <w:b/>
          <w:bCs/>
          <w:sz w:val="22"/>
          <w:szCs w:val="22"/>
        </w:rPr>
        <w:t>CONCEPTO 75 DE 2018</w:t>
      </w:r>
    </w:p>
    <w:p w14:paraId="16F9B4E9" w14:textId="1836EF4B" w:rsidR="00332615" w:rsidRPr="00332615" w:rsidRDefault="00332615" w:rsidP="00332615">
      <w:pPr>
        <w:jc w:val="center"/>
        <w:rPr>
          <w:rFonts w:ascii="Verdana" w:hAnsi="Verdana"/>
          <w:sz w:val="22"/>
          <w:szCs w:val="22"/>
        </w:rPr>
      </w:pPr>
      <w:r w:rsidRPr="00332615">
        <w:rPr>
          <w:rFonts w:ascii="Verdana" w:hAnsi="Verdana"/>
          <w:sz w:val="22"/>
          <w:szCs w:val="22"/>
        </w:rPr>
        <w:t>(</w:t>
      </w:r>
      <w:r>
        <w:rPr>
          <w:rFonts w:ascii="Verdana" w:hAnsi="Verdana"/>
          <w:sz w:val="22"/>
          <w:szCs w:val="22"/>
        </w:rPr>
        <w:t xml:space="preserve">4 de </w:t>
      </w:r>
      <w:r w:rsidRPr="00332615">
        <w:rPr>
          <w:rFonts w:ascii="Verdana" w:hAnsi="Verdana"/>
          <w:sz w:val="22"/>
          <w:szCs w:val="22"/>
        </w:rPr>
        <w:t>octubre)</w:t>
      </w:r>
    </w:p>
    <w:p w14:paraId="3CB5D195" w14:textId="77777777" w:rsidR="00332615" w:rsidRPr="00332615" w:rsidRDefault="00332615" w:rsidP="00332615">
      <w:pPr>
        <w:jc w:val="center"/>
        <w:rPr>
          <w:rFonts w:ascii="Verdana" w:hAnsi="Verdana"/>
          <w:sz w:val="22"/>
          <w:szCs w:val="22"/>
        </w:rPr>
      </w:pPr>
      <w:r w:rsidRPr="00332615">
        <w:rPr>
          <w:rFonts w:ascii="Verdana" w:hAnsi="Verdana"/>
          <w:b/>
          <w:bCs/>
          <w:sz w:val="22"/>
          <w:szCs w:val="22"/>
        </w:rPr>
        <w:t>INSTITUTO COLOMBIANO DE BIENESTAR FAMILIAR</w:t>
      </w:r>
    </w:p>
    <w:p w14:paraId="1E4F5D3B" w14:textId="77777777" w:rsidR="00332615" w:rsidRDefault="00332615" w:rsidP="00332615">
      <w:pPr>
        <w:jc w:val="both"/>
        <w:rPr>
          <w:rFonts w:ascii="Verdana" w:hAnsi="Verdana"/>
          <w:b/>
          <w:bCs/>
          <w:sz w:val="22"/>
          <w:szCs w:val="22"/>
        </w:rPr>
      </w:pPr>
    </w:p>
    <w:p w14:paraId="01FAED32" w14:textId="0620404C" w:rsidR="00332615" w:rsidRPr="00332615" w:rsidRDefault="00332615" w:rsidP="00332615">
      <w:pPr>
        <w:jc w:val="both"/>
        <w:rPr>
          <w:rFonts w:ascii="Verdana" w:hAnsi="Verdana"/>
          <w:sz w:val="22"/>
          <w:szCs w:val="22"/>
        </w:rPr>
      </w:pPr>
      <w:r w:rsidRPr="00332615">
        <w:rPr>
          <w:rFonts w:ascii="Verdana" w:hAnsi="Verdana"/>
          <w:b/>
          <w:bCs/>
          <w:sz w:val="22"/>
          <w:szCs w:val="22"/>
        </w:rPr>
        <w:t>ASUNTO:</w:t>
      </w:r>
      <w:r w:rsidRPr="00332615">
        <w:rPr>
          <w:rFonts w:ascii="Verdana" w:hAnsi="Verdana"/>
          <w:sz w:val="22"/>
          <w:szCs w:val="22"/>
        </w:rPr>
        <w:t> Respuesta solicitud de concepto. SIM 1761270940 de fecha 19 de septiembre de 2018.</w:t>
      </w:r>
    </w:p>
    <w:p w14:paraId="126A4E2A" w14:textId="0A808BA9" w:rsidR="00332615" w:rsidRPr="00332615" w:rsidRDefault="00332615" w:rsidP="00332615">
      <w:pPr>
        <w:jc w:val="both"/>
        <w:rPr>
          <w:rFonts w:ascii="Verdana" w:hAnsi="Verdana"/>
          <w:sz w:val="22"/>
          <w:szCs w:val="22"/>
        </w:rPr>
      </w:pPr>
      <w:r w:rsidRPr="00332615">
        <w:rPr>
          <w:rFonts w:ascii="Verdana" w:hAnsi="Verdana"/>
          <w:sz w:val="22"/>
          <w:szCs w:val="22"/>
        </w:rPr>
        <w:t>Atendiendo al asunto de la referencia y de acuerdo con lo previsto en el artículo 26 del Código Civil, Ley 1437 de 2011, y numeral 4 del artículo 6 del Decreto 967 de 2012, se procede a emitir concepto en los siguientes términos:</w:t>
      </w:r>
    </w:p>
    <w:p w14:paraId="1345612D" w14:textId="77777777" w:rsidR="00332615" w:rsidRPr="00332615" w:rsidRDefault="00332615" w:rsidP="00332615">
      <w:pPr>
        <w:jc w:val="both"/>
        <w:rPr>
          <w:rFonts w:ascii="Verdana" w:hAnsi="Verdana"/>
          <w:sz w:val="22"/>
          <w:szCs w:val="22"/>
        </w:rPr>
      </w:pPr>
      <w:r w:rsidRPr="00332615">
        <w:rPr>
          <w:rFonts w:ascii="Verdana" w:hAnsi="Verdana"/>
          <w:b/>
          <w:bCs/>
          <w:sz w:val="22"/>
          <w:szCs w:val="22"/>
        </w:rPr>
        <w:t>I. PROBLEMA JURÍDICO</w:t>
      </w:r>
    </w:p>
    <w:p w14:paraId="67ADC380" w14:textId="77777777" w:rsidR="00332615" w:rsidRPr="00332615" w:rsidRDefault="00332615" w:rsidP="00332615">
      <w:pPr>
        <w:jc w:val="both"/>
        <w:rPr>
          <w:rFonts w:ascii="Verdana" w:hAnsi="Verdana"/>
          <w:sz w:val="22"/>
          <w:szCs w:val="22"/>
        </w:rPr>
      </w:pPr>
      <w:r w:rsidRPr="00332615">
        <w:rPr>
          <w:rFonts w:ascii="Verdana" w:hAnsi="Verdana"/>
          <w:sz w:val="22"/>
          <w:szCs w:val="22"/>
        </w:rPr>
        <w:t>"(...)</w:t>
      </w:r>
    </w:p>
    <w:p w14:paraId="103202A2" w14:textId="21FF1A2F" w:rsidR="00332615" w:rsidRPr="00332615" w:rsidRDefault="00332615" w:rsidP="00332615">
      <w:pPr>
        <w:pStyle w:val="Prrafodelista"/>
        <w:numPr>
          <w:ilvl w:val="0"/>
          <w:numId w:val="4"/>
        </w:numPr>
        <w:jc w:val="both"/>
        <w:rPr>
          <w:rFonts w:ascii="Verdana" w:hAnsi="Verdana"/>
          <w:sz w:val="22"/>
          <w:szCs w:val="22"/>
        </w:rPr>
      </w:pPr>
      <w:r w:rsidRPr="00332615">
        <w:rPr>
          <w:rFonts w:ascii="Verdana" w:hAnsi="Verdana"/>
          <w:sz w:val="22"/>
          <w:szCs w:val="22"/>
        </w:rPr>
        <w:t xml:space="preserve">¿Qué debe hacer o cuál es </w:t>
      </w:r>
      <w:proofErr w:type="gramStart"/>
      <w:r w:rsidRPr="00332615">
        <w:rPr>
          <w:rFonts w:ascii="Verdana" w:hAnsi="Verdana"/>
          <w:sz w:val="22"/>
          <w:szCs w:val="22"/>
        </w:rPr>
        <w:t>el procedimiento a seguir</w:t>
      </w:r>
      <w:proofErr w:type="gramEnd"/>
      <w:r w:rsidRPr="00332615">
        <w:rPr>
          <w:rFonts w:ascii="Verdana" w:hAnsi="Verdana"/>
          <w:sz w:val="22"/>
          <w:szCs w:val="22"/>
        </w:rPr>
        <w:t xml:space="preserve"> por parte del Comisario de Familia cuando una víctima de violencia intrafamiliar manifiesta que ignora el domicilio del agresor o victimario?</w:t>
      </w:r>
    </w:p>
    <w:p w14:paraId="699BC15D" w14:textId="6A432984" w:rsidR="00332615" w:rsidRPr="00332615" w:rsidRDefault="00332615" w:rsidP="00332615">
      <w:pPr>
        <w:pStyle w:val="Prrafodelista"/>
        <w:numPr>
          <w:ilvl w:val="0"/>
          <w:numId w:val="4"/>
        </w:numPr>
        <w:jc w:val="both"/>
        <w:rPr>
          <w:rFonts w:ascii="Verdana" w:hAnsi="Verdana"/>
          <w:sz w:val="22"/>
          <w:szCs w:val="22"/>
        </w:rPr>
      </w:pPr>
      <w:r w:rsidRPr="00332615">
        <w:rPr>
          <w:rFonts w:ascii="Verdana" w:hAnsi="Verdana"/>
          <w:sz w:val="22"/>
          <w:szCs w:val="22"/>
        </w:rPr>
        <w:t xml:space="preserve">¿Puede el Comisario de Familia colocar como requisito a la </w:t>
      </w:r>
      <w:proofErr w:type="spellStart"/>
      <w:r w:rsidRPr="00332615">
        <w:rPr>
          <w:rFonts w:ascii="Verdana" w:hAnsi="Verdana"/>
          <w:sz w:val="22"/>
          <w:szCs w:val="22"/>
        </w:rPr>
        <w:t>victima</w:t>
      </w:r>
      <w:proofErr w:type="spellEnd"/>
      <w:r w:rsidRPr="00332615">
        <w:rPr>
          <w:rFonts w:ascii="Verdana" w:hAnsi="Verdana"/>
          <w:sz w:val="22"/>
          <w:szCs w:val="22"/>
        </w:rPr>
        <w:t xml:space="preserve"> de violencia intrafamiliar conocer el domicilio del victimario o agresor para rociar una denuncia?”</w:t>
      </w:r>
    </w:p>
    <w:p w14:paraId="1755F5B0" w14:textId="77777777" w:rsidR="00332615" w:rsidRPr="00332615" w:rsidRDefault="00332615" w:rsidP="00332615">
      <w:pPr>
        <w:jc w:val="both"/>
        <w:rPr>
          <w:rFonts w:ascii="Verdana" w:hAnsi="Verdana"/>
          <w:sz w:val="22"/>
          <w:szCs w:val="22"/>
        </w:rPr>
      </w:pPr>
      <w:r w:rsidRPr="00332615">
        <w:rPr>
          <w:rFonts w:ascii="Verdana" w:hAnsi="Verdana"/>
          <w:b/>
          <w:bCs/>
          <w:sz w:val="22"/>
          <w:szCs w:val="22"/>
        </w:rPr>
        <w:t>II. ANÁLISIS DEL PROBLEMA JURÍDICO</w:t>
      </w:r>
    </w:p>
    <w:p w14:paraId="57BF1FCD" w14:textId="77777777" w:rsidR="00332615" w:rsidRPr="00332615" w:rsidRDefault="00332615" w:rsidP="00332615">
      <w:pPr>
        <w:jc w:val="both"/>
        <w:rPr>
          <w:rFonts w:ascii="Verdana" w:hAnsi="Verdana"/>
          <w:sz w:val="22"/>
          <w:szCs w:val="22"/>
        </w:rPr>
      </w:pPr>
      <w:r w:rsidRPr="00332615">
        <w:rPr>
          <w:rFonts w:ascii="Verdana" w:hAnsi="Verdana"/>
          <w:sz w:val="22"/>
          <w:szCs w:val="22"/>
        </w:rPr>
        <w:t>Para dar respuesta al problema jurídico planteado, el presente concepto se desarrollará a partir de la siguiente estructura: 2.1. Fundones de las Comisarias de Familia en materia de violencia intrafamiliar; 2.2 Requisitos exigidos para la presentación de denuncia por violencia intrafamiliar.</w:t>
      </w:r>
    </w:p>
    <w:p w14:paraId="5A33E485" w14:textId="77777777" w:rsidR="00332615" w:rsidRPr="00332615" w:rsidRDefault="00332615" w:rsidP="00332615">
      <w:pPr>
        <w:jc w:val="both"/>
        <w:rPr>
          <w:rFonts w:ascii="Verdana" w:hAnsi="Verdana"/>
          <w:sz w:val="22"/>
          <w:szCs w:val="22"/>
        </w:rPr>
      </w:pPr>
      <w:r w:rsidRPr="00332615">
        <w:rPr>
          <w:rFonts w:ascii="Verdana" w:hAnsi="Verdana"/>
          <w:b/>
          <w:bCs/>
          <w:sz w:val="22"/>
          <w:szCs w:val="22"/>
        </w:rPr>
        <w:t>2.1. </w:t>
      </w:r>
      <w:r w:rsidRPr="00332615">
        <w:rPr>
          <w:rFonts w:ascii="Verdana" w:hAnsi="Verdana"/>
          <w:b/>
          <w:bCs/>
          <w:sz w:val="22"/>
          <w:szCs w:val="22"/>
          <w:u w:val="single"/>
        </w:rPr>
        <w:t>Punciones de las Comisarías de Familia en materia de violencia Intrafamiliar.</w:t>
      </w:r>
    </w:p>
    <w:p w14:paraId="13D2B57C" w14:textId="3E8E1AFE" w:rsidR="00332615" w:rsidRPr="00332615" w:rsidRDefault="00332615" w:rsidP="00332615">
      <w:pPr>
        <w:jc w:val="both"/>
        <w:rPr>
          <w:rFonts w:ascii="Verdana" w:hAnsi="Verdana"/>
          <w:sz w:val="22"/>
          <w:szCs w:val="22"/>
        </w:rPr>
      </w:pPr>
      <w:r w:rsidRPr="00332615">
        <w:rPr>
          <w:rFonts w:ascii="Verdana" w:hAnsi="Verdana"/>
          <w:sz w:val="22"/>
          <w:szCs w:val="22"/>
        </w:rPr>
        <w:t>Las Comisarías de Familia han sido definidas en el artículo 83 de la Ley 1098 de 2006 como entidades distritales, municipales o intermunicipales de carácter administrativo e interdisciplinario cuya misión es prevenir, garantizar, restablecer y reparar los derechos de los miembros de las familias que hubieren resultado conculcados por situaciones de violencia intrafamiliar y las demás establecidas por la ley.</w:t>
      </w:r>
    </w:p>
    <w:p w14:paraId="1589107E" w14:textId="00E02481" w:rsidR="00332615" w:rsidRPr="00332615" w:rsidRDefault="00332615" w:rsidP="00332615">
      <w:pPr>
        <w:jc w:val="both"/>
        <w:rPr>
          <w:rFonts w:ascii="Verdana" w:hAnsi="Verdana"/>
          <w:sz w:val="22"/>
          <w:szCs w:val="22"/>
        </w:rPr>
      </w:pPr>
      <w:r w:rsidRPr="00332615">
        <w:rPr>
          <w:rFonts w:ascii="Verdana" w:hAnsi="Verdana"/>
          <w:sz w:val="22"/>
          <w:szCs w:val="22"/>
        </w:rPr>
        <w:t>Las Comisarias de Familia, hacen parte del Sistema Nacional de Bienestar Familiar a nivel local o municipal y son entidades que forman parte de la Rama Ejecutiva del Poder Público del respectivo municipio o distrito. Tienen funciones y competencias de Autoridad Administrativa con funciones judiciales, de orden policivo y de restablecimiento de derechos (artículo 96 Ley 1098 de 2006)</w:t>
      </w:r>
    </w:p>
    <w:p w14:paraId="464A7F53" w14:textId="7C905F27" w:rsidR="00332615" w:rsidRPr="00332615" w:rsidRDefault="00332615" w:rsidP="00332615">
      <w:pPr>
        <w:jc w:val="both"/>
        <w:rPr>
          <w:rFonts w:ascii="Verdana" w:hAnsi="Verdana"/>
          <w:sz w:val="22"/>
          <w:szCs w:val="22"/>
        </w:rPr>
      </w:pPr>
      <w:r w:rsidRPr="00332615">
        <w:rPr>
          <w:rFonts w:ascii="Verdana" w:hAnsi="Verdana"/>
          <w:sz w:val="22"/>
          <w:szCs w:val="22"/>
        </w:rPr>
        <w:lastRenderedPageBreak/>
        <w:t>En materia de violencia intrafamiliar y atendiendo a lo dispuesto en las Leyes 294 de 1996, 575 de 2000,1098 de 2006 (artículo 86) y 1257 de 2008, corresponde a los Comisarios de Familia:</w:t>
      </w:r>
    </w:p>
    <w:p w14:paraId="33036CEB" w14:textId="05177746" w:rsidR="00332615" w:rsidRPr="00332615" w:rsidRDefault="00332615" w:rsidP="00332615">
      <w:pPr>
        <w:pStyle w:val="Prrafodelista"/>
        <w:numPr>
          <w:ilvl w:val="0"/>
          <w:numId w:val="2"/>
        </w:numPr>
        <w:jc w:val="both"/>
        <w:rPr>
          <w:rFonts w:ascii="Verdana" w:hAnsi="Verdana"/>
          <w:sz w:val="22"/>
          <w:szCs w:val="22"/>
        </w:rPr>
      </w:pPr>
      <w:r w:rsidRPr="00332615">
        <w:rPr>
          <w:rFonts w:ascii="Verdana" w:hAnsi="Verdana"/>
          <w:sz w:val="22"/>
          <w:szCs w:val="22"/>
        </w:rPr>
        <w:t>Recibir y tomar las medidas de protección en casos de violencia intrafamiliar.</w:t>
      </w:r>
    </w:p>
    <w:p w14:paraId="25763E14" w14:textId="70096F90" w:rsidR="00332615" w:rsidRPr="00332615" w:rsidRDefault="00332615" w:rsidP="00332615">
      <w:pPr>
        <w:pStyle w:val="Prrafodelista"/>
        <w:numPr>
          <w:ilvl w:val="0"/>
          <w:numId w:val="2"/>
        </w:numPr>
        <w:jc w:val="both"/>
        <w:rPr>
          <w:rFonts w:ascii="Verdana" w:hAnsi="Verdana"/>
          <w:sz w:val="22"/>
          <w:szCs w:val="22"/>
        </w:rPr>
      </w:pPr>
      <w:r w:rsidRPr="00332615">
        <w:rPr>
          <w:rFonts w:ascii="Verdana" w:hAnsi="Verdana"/>
          <w:sz w:val="22"/>
          <w:szCs w:val="22"/>
        </w:rPr>
        <w:t>Garantizar, proteger, restablecer y reparar los derechos de los miembros de la familia conculcados por situaciones de violencia intrafamiliar.</w:t>
      </w:r>
    </w:p>
    <w:p w14:paraId="44383C6A" w14:textId="01143579" w:rsidR="00332615" w:rsidRPr="00332615" w:rsidRDefault="00332615" w:rsidP="00332615">
      <w:pPr>
        <w:pStyle w:val="Prrafodelista"/>
        <w:numPr>
          <w:ilvl w:val="0"/>
          <w:numId w:val="2"/>
        </w:numPr>
        <w:jc w:val="both"/>
        <w:rPr>
          <w:rFonts w:ascii="Verdana" w:hAnsi="Verdana"/>
          <w:sz w:val="22"/>
          <w:szCs w:val="22"/>
        </w:rPr>
      </w:pPr>
      <w:r w:rsidRPr="00332615">
        <w:rPr>
          <w:rFonts w:ascii="Verdana" w:hAnsi="Verdana"/>
          <w:sz w:val="22"/>
          <w:szCs w:val="22"/>
        </w:rPr>
        <w:t>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p>
    <w:p w14:paraId="3C727C5C" w14:textId="610BF643" w:rsidR="00332615" w:rsidRPr="00332615" w:rsidRDefault="00332615" w:rsidP="00332615">
      <w:pPr>
        <w:pStyle w:val="Prrafodelista"/>
        <w:numPr>
          <w:ilvl w:val="0"/>
          <w:numId w:val="2"/>
        </w:numPr>
        <w:jc w:val="both"/>
        <w:rPr>
          <w:rFonts w:ascii="Verdana" w:hAnsi="Verdana"/>
          <w:sz w:val="22"/>
          <w:szCs w:val="22"/>
        </w:rPr>
      </w:pPr>
      <w:r w:rsidRPr="00332615">
        <w:rPr>
          <w:rFonts w:ascii="Verdana" w:hAnsi="Verdana"/>
          <w:sz w:val="22"/>
          <w:szCs w:val="22"/>
        </w:rPr>
        <w:t>Adicionalmente, el Decreto Único Reglamentario del Sector Justicia y del Derecho -Decreto 1069 de 2015-, en su artículo 2.2.4.9.2.1 en relación con las competencias del Defensor y Comisario de Familia en asuntos de violencia intrafamiliar, dispuso:</w:t>
      </w:r>
    </w:p>
    <w:p w14:paraId="0F19A4B3" w14:textId="14C86678" w:rsidR="00332615" w:rsidRPr="00332615" w:rsidRDefault="00332615" w:rsidP="00332615">
      <w:pPr>
        <w:jc w:val="both"/>
        <w:rPr>
          <w:rFonts w:ascii="Verdana" w:hAnsi="Verdana"/>
          <w:sz w:val="22"/>
          <w:szCs w:val="22"/>
        </w:rPr>
      </w:pPr>
      <w:r w:rsidRPr="00332615">
        <w:rPr>
          <w:rFonts w:ascii="Verdana" w:hAnsi="Verdana"/>
          <w:b/>
          <w:bCs/>
          <w:sz w:val="22"/>
          <w:szCs w:val="22"/>
        </w:rPr>
        <w:t>"Artículo </w:t>
      </w:r>
      <w:r w:rsidRPr="00332615">
        <w:rPr>
          <w:rFonts w:ascii="Verdana" w:hAnsi="Verdana"/>
          <w:sz w:val="22"/>
          <w:szCs w:val="22"/>
        </w:rPr>
        <w:t>2.2.4.9.2.1</w:t>
      </w:r>
      <w:r w:rsidRPr="00332615">
        <w:rPr>
          <w:rFonts w:ascii="Verdana" w:hAnsi="Verdana"/>
          <w:b/>
          <w:bCs/>
          <w:sz w:val="22"/>
          <w:szCs w:val="22"/>
        </w:rPr>
        <w:t>. Competencias del Defensor de Familia y de las Comisarias de Familia.</w:t>
      </w:r>
    </w:p>
    <w:p w14:paraId="65D0213F" w14:textId="77777777" w:rsidR="00332615" w:rsidRPr="00332615" w:rsidRDefault="00332615" w:rsidP="00332615">
      <w:pPr>
        <w:jc w:val="both"/>
        <w:rPr>
          <w:rFonts w:ascii="Verdana" w:hAnsi="Verdana"/>
          <w:sz w:val="22"/>
          <w:szCs w:val="22"/>
        </w:rPr>
      </w:pPr>
      <w:r w:rsidRPr="00332615">
        <w:rPr>
          <w:rFonts w:ascii="Verdana" w:hAnsi="Verdana"/>
          <w:sz w:val="22"/>
          <w:szCs w:val="22"/>
        </w:rPr>
        <w:t>Cuando en un mismo municipio concurran Defensorías de Familia y Comisarías de Familia, el criterio diferenciador de competencias para los efectos de restablecimiento de derechos, se regirá por lo dispuesto en la Ley 1098 de 2008 así:</w:t>
      </w:r>
    </w:p>
    <w:p w14:paraId="7C984CE4" w14:textId="77777777" w:rsidR="00332615" w:rsidRPr="00332615" w:rsidRDefault="00332615" w:rsidP="00332615">
      <w:pPr>
        <w:jc w:val="both"/>
        <w:rPr>
          <w:rFonts w:ascii="Verdana" w:hAnsi="Verdana"/>
          <w:sz w:val="22"/>
          <w:szCs w:val="22"/>
        </w:rPr>
      </w:pPr>
      <w:r w:rsidRPr="00332615">
        <w:rPr>
          <w:rFonts w:ascii="Verdana" w:hAnsi="Verdana"/>
          <w:sz w:val="22"/>
          <w:szCs w:val="22"/>
        </w:rPr>
        <w:t>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79CAD351" w14:textId="213D04A1" w:rsidR="00332615" w:rsidRPr="00332615" w:rsidRDefault="00332615" w:rsidP="00332615">
      <w:pPr>
        <w:jc w:val="both"/>
        <w:rPr>
          <w:rFonts w:ascii="Verdana" w:hAnsi="Verdana"/>
          <w:sz w:val="22"/>
          <w:szCs w:val="22"/>
        </w:rPr>
      </w:pPr>
      <w:r w:rsidRPr="00332615">
        <w:rPr>
          <w:rFonts w:ascii="Verdana" w:hAnsi="Verdana"/>
          <w:b/>
          <w:bCs/>
          <w:sz w:val="22"/>
          <w:szCs w:val="22"/>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 Para ello aplicará las medidas de protección contenidas en la Ley </w:t>
      </w:r>
      <w:r w:rsidRPr="00332615">
        <w:rPr>
          <w:rFonts w:ascii="Verdana" w:hAnsi="Verdana"/>
          <w:sz w:val="22"/>
          <w:szCs w:val="22"/>
        </w:rPr>
        <w:t>575</w:t>
      </w:r>
      <w:r w:rsidRPr="00332615">
        <w:rPr>
          <w:rFonts w:ascii="Verdana" w:hAnsi="Verdana"/>
          <w:b/>
          <w:bCs/>
          <w:sz w:val="22"/>
          <w:szCs w:val="22"/>
        </w:rPr>
        <w:t> de 2000 que modificó la Ley </w:t>
      </w:r>
      <w:r w:rsidRPr="00332615">
        <w:rPr>
          <w:rFonts w:ascii="Verdana" w:hAnsi="Verdana"/>
          <w:sz w:val="22"/>
          <w:szCs w:val="22"/>
        </w:rPr>
        <w:t>294</w:t>
      </w:r>
      <w:r w:rsidRPr="00332615">
        <w:rPr>
          <w:rFonts w:ascii="Verdana" w:hAnsi="Verdana"/>
          <w:b/>
          <w:bCs/>
          <w:sz w:val="22"/>
          <w:szCs w:val="22"/>
        </w:rPr>
        <w:t> de 1996, las medidas de restablecimiento de derechos consagradas en la Ley </w:t>
      </w:r>
      <w:r w:rsidRPr="00332615">
        <w:rPr>
          <w:rFonts w:ascii="Verdana" w:hAnsi="Verdana"/>
          <w:sz w:val="22"/>
          <w:szCs w:val="22"/>
        </w:rPr>
        <w:t>1098</w:t>
      </w:r>
      <w:r w:rsidRPr="00332615">
        <w:rPr>
          <w:rFonts w:ascii="Verdana" w:hAnsi="Verdana"/>
          <w:b/>
          <w:bCs/>
          <w:sz w:val="22"/>
          <w:szCs w:val="22"/>
        </w:rPr>
        <w:t> de 2006 y, como consecuencia de ellas, promoverá fas conciliaciones a que haya fugar en relación con la custodia y cuidado personal, la cuota de alimentos y la reglamentación de visitas.</w:t>
      </w:r>
      <w:r w:rsidRPr="00332615">
        <w:rPr>
          <w:rFonts w:ascii="Verdana" w:hAnsi="Verdana"/>
          <w:sz w:val="22"/>
          <w:szCs w:val="22"/>
        </w:rPr>
        <w:t> (Negrita fuera de texto)</w:t>
      </w:r>
    </w:p>
    <w:p w14:paraId="7519BA71" w14:textId="77777777" w:rsidR="00332615" w:rsidRPr="00332615" w:rsidRDefault="00332615" w:rsidP="00332615">
      <w:pPr>
        <w:jc w:val="both"/>
        <w:rPr>
          <w:rFonts w:ascii="Verdana" w:hAnsi="Verdana"/>
          <w:sz w:val="22"/>
          <w:szCs w:val="22"/>
        </w:rPr>
      </w:pPr>
      <w:r w:rsidRPr="00332615">
        <w:rPr>
          <w:rFonts w:ascii="Verdana" w:hAnsi="Verdana"/>
          <w:b/>
          <w:bCs/>
          <w:sz w:val="22"/>
          <w:szCs w:val="22"/>
          <w:u w:val="single"/>
        </w:rPr>
        <w:t>2.2 Requisitos exigidos para la presentación de denuncia por violencia intrafamiliar.</w:t>
      </w:r>
    </w:p>
    <w:p w14:paraId="7712702B" w14:textId="050DC8B1" w:rsidR="00332615" w:rsidRPr="00332615" w:rsidRDefault="00332615" w:rsidP="00332615">
      <w:pPr>
        <w:jc w:val="both"/>
        <w:rPr>
          <w:rFonts w:ascii="Verdana" w:hAnsi="Verdana"/>
          <w:sz w:val="22"/>
          <w:szCs w:val="22"/>
        </w:rPr>
      </w:pPr>
      <w:r w:rsidRPr="00332615">
        <w:rPr>
          <w:rFonts w:ascii="Verdana" w:hAnsi="Verdana"/>
          <w:sz w:val="22"/>
          <w:szCs w:val="22"/>
        </w:rPr>
        <w:lastRenderedPageBreak/>
        <w:t>En atención al numeral 4 del artículo 86 de la Ley 1098 de 2006, corresponde a los Comisarios de Familia recibir denuncias y tomar las medidas de protección en casos de violencia intrafamiliar.</w:t>
      </w:r>
    </w:p>
    <w:p w14:paraId="196609D9" w14:textId="52ED336B" w:rsidR="00332615" w:rsidRPr="00332615" w:rsidRDefault="00332615" w:rsidP="00332615">
      <w:pPr>
        <w:jc w:val="both"/>
        <w:rPr>
          <w:rFonts w:ascii="Verdana" w:hAnsi="Verdana"/>
          <w:sz w:val="22"/>
          <w:szCs w:val="22"/>
        </w:rPr>
      </w:pPr>
      <w:r w:rsidRPr="00332615">
        <w:rPr>
          <w:rFonts w:ascii="Verdana" w:hAnsi="Verdana"/>
          <w:sz w:val="22"/>
          <w:szCs w:val="22"/>
        </w:rPr>
        <w:t>La violencia intrafamiliar ha sido tipificada como delito en nuestra legislación penal (artículo 229 Ley 599 de 2000) y su puesta en conocimiento de las autoridades, en este caso administrativas, requiere el cumplimiento de las exigencias previstas por el Legislador en el artículo 69 de la Ley 906 de 2004:</w:t>
      </w:r>
    </w:p>
    <w:p w14:paraId="7A9496C8" w14:textId="48158C01" w:rsidR="00332615" w:rsidRPr="00332615" w:rsidRDefault="00332615" w:rsidP="00332615">
      <w:pPr>
        <w:jc w:val="both"/>
        <w:rPr>
          <w:rFonts w:ascii="Verdana" w:hAnsi="Verdana"/>
          <w:sz w:val="22"/>
          <w:szCs w:val="22"/>
        </w:rPr>
      </w:pPr>
      <w:r w:rsidRPr="00332615">
        <w:rPr>
          <w:rFonts w:ascii="Verdana" w:hAnsi="Verdana"/>
          <w:sz w:val="22"/>
          <w:szCs w:val="22"/>
        </w:rPr>
        <w:t>“Artículo 69. Requisitos de la denuncia, de la querella o de la petición. La denuncia, querella o petición se hará verbalmente, o por escrito, o por cualquier medio técnico que permita la identificación del autor, dejando constancia del día y hora de su presentación y contendrá una relación detallada de los hechos que conozca el denunciante. Este deberá manifestar, si le consta, que los mismos hechos ya han sido puestos en conocimiento de otro funcionario. Quien la reciba advertirá al denunciante que la falsa denuncia implica responsabilidad penal."</w:t>
      </w:r>
    </w:p>
    <w:p w14:paraId="31696567" w14:textId="77777777" w:rsidR="00332615" w:rsidRPr="00332615" w:rsidRDefault="00332615" w:rsidP="00332615">
      <w:pPr>
        <w:jc w:val="both"/>
        <w:rPr>
          <w:rFonts w:ascii="Verdana" w:hAnsi="Verdana"/>
          <w:sz w:val="22"/>
          <w:szCs w:val="22"/>
        </w:rPr>
      </w:pPr>
      <w:r w:rsidRPr="00332615">
        <w:rPr>
          <w:rFonts w:ascii="Verdana" w:hAnsi="Verdana"/>
          <w:sz w:val="22"/>
          <w:szCs w:val="22"/>
        </w:rPr>
        <w:t>De esta manera, quien denuncie los presuntos hechos constitutivos de violencia intrafamiliar presenta ante el Comisario de Familia toda la información que conoce al respecto, sin que la Ley haya contemplado la imposibilidad de adelantar trámites en los casos en que el denunciante manifieste no tener información o no conocer el paradero del presunto agresor.</w:t>
      </w:r>
    </w:p>
    <w:p w14:paraId="3363E5E1" w14:textId="77777777" w:rsidR="00332615" w:rsidRPr="00332615" w:rsidRDefault="00332615" w:rsidP="00332615">
      <w:pPr>
        <w:jc w:val="both"/>
        <w:rPr>
          <w:rFonts w:ascii="Verdana" w:hAnsi="Verdana"/>
          <w:sz w:val="22"/>
          <w:szCs w:val="22"/>
        </w:rPr>
      </w:pPr>
      <w:r w:rsidRPr="00332615">
        <w:rPr>
          <w:rFonts w:ascii="Verdana" w:hAnsi="Verdana"/>
          <w:sz w:val="22"/>
          <w:szCs w:val="22"/>
        </w:rPr>
        <w:t xml:space="preserve">En este escenario, corresponde al Comisario de Familia igualmente, </w:t>
      </w:r>
      <w:proofErr w:type="spellStart"/>
      <w:r w:rsidRPr="00332615">
        <w:rPr>
          <w:rFonts w:ascii="Verdana" w:hAnsi="Verdana"/>
          <w:sz w:val="22"/>
          <w:szCs w:val="22"/>
        </w:rPr>
        <w:t>recepcionar</w:t>
      </w:r>
      <w:proofErr w:type="spellEnd"/>
      <w:r w:rsidRPr="00332615">
        <w:rPr>
          <w:rFonts w:ascii="Verdana" w:hAnsi="Verdana"/>
          <w:sz w:val="22"/>
          <w:szCs w:val="22"/>
        </w:rPr>
        <w:t xml:space="preserve"> la denuncia y desplegar las acciones que resulten necesarias en la medida y que, aun desconociendo la ubicación de aquel, sea posible adoptar.</w:t>
      </w:r>
    </w:p>
    <w:p w14:paraId="1A76AAD4" w14:textId="77777777" w:rsidR="00332615" w:rsidRPr="00332615" w:rsidRDefault="00332615" w:rsidP="00332615">
      <w:pPr>
        <w:jc w:val="both"/>
        <w:rPr>
          <w:rFonts w:ascii="Verdana" w:hAnsi="Verdana"/>
          <w:sz w:val="22"/>
          <w:szCs w:val="22"/>
        </w:rPr>
      </w:pPr>
      <w:r w:rsidRPr="00332615">
        <w:rPr>
          <w:rFonts w:ascii="Verdana" w:hAnsi="Verdana"/>
          <w:sz w:val="22"/>
          <w:szCs w:val="22"/>
        </w:rPr>
        <w:t>Cualquier autoridad a la que se pretenda presentar una denuncia por violencia intrafamiliar o maltrato infantil está obligada a recibirla y a tomar las medidas que considere urgentes con el fin de proteger y restablecer los derechos del niño, niña o adolescente que se encuentre amenazado o vulnerado.</w:t>
      </w:r>
    </w:p>
    <w:p w14:paraId="5584426F" w14:textId="77777777" w:rsidR="00332615" w:rsidRPr="00332615" w:rsidRDefault="00332615" w:rsidP="00332615">
      <w:pPr>
        <w:jc w:val="both"/>
        <w:rPr>
          <w:rFonts w:ascii="Verdana" w:hAnsi="Verdana"/>
          <w:sz w:val="22"/>
          <w:szCs w:val="22"/>
        </w:rPr>
      </w:pPr>
      <w:r w:rsidRPr="00332615">
        <w:rPr>
          <w:rFonts w:ascii="Verdana" w:hAnsi="Verdana"/>
          <w:sz w:val="22"/>
          <w:szCs w:val="22"/>
        </w:rPr>
        <w:t>Para el despliegue de las acciones que corresponda a la autoridad administrativa, entre ellas, las medidas de protección, su solicitud deberá reunir los requisitos señalados en el artículo 10 de la Ley 94 de 1996, en cuyo literal c) indica que debe informarse el nombre y domicilio del agresor.</w:t>
      </w:r>
    </w:p>
    <w:p w14:paraId="4DF577BC" w14:textId="5ED2D8A3" w:rsidR="00332615" w:rsidRPr="00332615" w:rsidRDefault="00332615" w:rsidP="00332615">
      <w:pPr>
        <w:jc w:val="both"/>
        <w:rPr>
          <w:rFonts w:ascii="Verdana" w:hAnsi="Verdana"/>
          <w:sz w:val="22"/>
          <w:szCs w:val="22"/>
        </w:rPr>
      </w:pPr>
      <w:r w:rsidRPr="00332615">
        <w:rPr>
          <w:rFonts w:ascii="Verdana" w:hAnsi="Verdana"/>
          <w:sz w:val="22"/>
          <w:szCs w:val="22"/>
        </w:rPr>
        <w:t>En los casos donde no se conozca el domicilio del agresor, la Autoridad Administrativa procederá conforme a las instrucciones del artículo 7 del Decreto 4799 de 2011 (Decreto Reglamentario de las Leyes 294 de 1996, 575 de 2000 y 1257 de 2008), decretando la medida de protección provisional en la forma y términos señalados en el artículo 6 de la Ley 575 de 2000, esto es:</w:t>
      </w:r>
    </w:p>
    <w:p w14:paraId="5CFF5836" w14:textId="77777777" w:rsidR="00332615" w:rsidRPr="00332615" w:rsidRDefault="00332615" w:rsidP="00332615">
      <w:pPr>
        <w:jc w:val="both"/>
        <w:rPr>
          <w:rFonts w:ascii="Verdana" w:hAnsi="Verdana"/>
          <w:sz w:val="22"/>
          <w:szCs w:val="22"/>
        </w:rPr>
      </w:pPr>
      <w:r w:rsidRPr="00332615">
        <w:rPr>
          <w:rFonts w:ascii="Verdana" w:hAnsi="Verdana"/>
          <w:sz w:val="22"/>
          <w:szCs w:val="22"/>
        </w:rPr>
        <w:t xml:space="preserve">“El Comisario o el Juez, según el caso, recibirá y avocará en forma inmediata la petición, y si estuviere fundada en al menos indicios leves, podrá dictar dentro </w:t>
      </w:r>
      <w:r w:rsidRPr="00332615">
        <w:rPr>
          <w:rFonts w:ascii="Verdana" w:hAnsi="Verdana"/>
          <w:sz w:val="22"/>
          <w:szCs w:val="22"/>
        </w:rPr>
        <w:lastRenderedPageBreak/>
        <w:t>de las cuatro (4) horas hábiles siguientes, medidas de protección en forma provisional tendientes a evitar fa continuación de todo acto de violencia, agresión, maltrato, amenaza u ofensa contra la víctima, so pena de hacerse el agresor acreedor a las sanciones previstas en esta ley para el incumplimiento de las medidas de protección (..,) Igualmente podrá solicitar prueba pericial, técnica o científica, a peritos oficiales, quienes rendirán su dictamen conforme a los procedimientos establecidos por el Instituto de Medicina Legal y Ciencias Forenses. ”</w:t>
      </w:r>
    </w:p>
    <w:p w14:paraId="4AE8058E" w14:textId="77777777" w:rsidR="00332615" w:rsidRPr="00332615" w:rsidRDefault="00332615" w:rsidP="00332615">
      <w:pPr>
        <w:jc w:val="both"/>
        <w:rPr>
          <w:rFonts w:ascii="Verdana" w:hAnsi="Verdana"/>
          <w:sz w:val="22"/>
          <w:szCs w:val="22"/>
        </w:rPr>
      </w:pPr>
      <w:r w:rsidRPr="00332615">
        <w:rPr>
          <w:rFonts w:ascii="Verdana" w:hAnsi="Verdana"/>
          <w:b/>
          <w:bCs/>
          <w:sz w:val="22"/>
          <w:szCs w:val="22"/>
        </w:rPr>
        <w:t>II. CONCLUSIÓN</w:t>
      </w:r>
    </w:p>
    <w:p w14:paraId="4229EEAE" w14:textId="77777777" w:rsidR="00332615" w:rsidRPr="00332615" w:rsidRDefault="00332615" w:rsidP="00332615">
      <w:pPr>
        <w:jc w:val="both"/>
        <w:rPr>
          <w:rFonts w:ascii="Verdana" w:hAnsi="Verdana"/>
          <w:sz w:val="22"/>
          <w:szCs w:val="22"/>
        </w:rPr>
      </w:pPr>
      <w:r w:rsidRPr="00332615">
        <w:rPr>
          <w:rFonts w:ascii="Verdana" w:hAnsi="Verdana"/>
          <w:sz w:val="22"/>
          <w:szCs w:val="22"/>
        </w:rPr>
        <w:t>Así las cosas y teniendo en cuenta las consideraciones de orden legal expuestas, se puede concluir lo siguiente:</w:t>
      </w:r>
    </w:p>
    <w:p w14:paraId="5DB657BC" w14:textId="77777777" w:rsidR="00332615" w:rsidRPr="00332615" w:rsidRDefault="00332615" w:rsidP="00332615">
      <w:pPr>
        <w:jc w:val="both"/>
        <w:rPr>
          <w:rFonts w:ascii="Verdana" w:hAnsi="Verdana"/>
          <w:sz w:val="22"/>
          <w:szCs w:val="22"/>
        </w:rPr>
      </w:pPr>
      <w:r w:rsidRPr="00332615">
        <w:rPr>
          <w:rFonts w:ascii="Verdana" w:hAnsi="Verdana"/>
          <w:b/>
          <w:bCs/>
          <w:sz w:val="22"/>
          <w:szCs w:val="22"/>
        </w:rPr>
        <w:t>PRIMERO:</w:t>
      </w:r>
      <w:r w:rsidRPr="00332615">
        <w:rPr>
          <w:rFonts w:ascii="Verdana" w:hAnsi="Verdana"/>
          <w:sz w:val="22"/>
          <w:szCs w:val="22"/>
        </w:rPr>
        <w:t> Los hechos constitutivos de violencia intrafamiliar pueden ser denunciados ante el Comisario de Familia, sin que constituya un requisito inexcusable aportar la dirección donde pueda ser ubicado el presunto agresor o suministrar información sobre su paradero.</w:t>
      </w:r>
    </w:p>
    <w:p w14:paraId="3750AEEC" w14:textId="151F9727" w:rsidR="00332615" w:rsidRPr="00332615" w:rsidRDefault="00332615" w:rsidP="00332615">
      <w:pPr>
        <w:jc w:val="both"/>
        <w:rPr>
          <w:rFonts w:ascii="Verdana" w:hAnsi="Verdana"/>
          <w:sz w:val="22"/>
          <w:szCs w:val="22"/>
        </w:rPr>
      </w:pPr>
      <w:r w:rsidRPr="00332615">
        <w:rPr>
          <w:rFonts w:ascii="Verdana" w:hAnsi="Verdana"/>
          <w:sz w:val="22"/>
          <w:szCs w:val="22"/>
        </w:rPr>
        <w:t xml:space="preserve">El presente </w:t>
      </w:r>
      <w:proofErr w:type="gramStart"/>
      <w:r w:rsidRPr="00332615">
        <w:rPr>
          <w:rFonts w:ascii="Verdana" w:hAnsi="Verdana"/>
          <w:sz w:val="22"/>
          <w:szCs w:val="22"/>
        </w:rPr>
        <w:t>concepto[</w:t>
      </w:r>
      <w:proofErr w:type="gramEnd"/>
      <w:r w:rsidRPr="00332615">
        <w:rPr>
          <w:rFonts w:ascii="Verdana" w:hAnsi="Verdana"/>
          <w:sz w:val="22"/>
          <w:szCs w:val="22"/>
          <w:vertAlign w:val="superscript"/>
        </w:rPr>
        <w:t>1]</w:t>
      </w:r>
      <w:r w:rsidRPr="00332615">
        <w:rPr>
          <w:rFonts w:ascii="Verdana" w:hAnsi="Verdana"/>
          <w:sz w:val="22"/>
          <w:szCs w:val="22"/>
        </w:rPr>
        <w:t>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los dispuesto en los numerales 4, 8 y 20 del artículo 6 del Decreto 987 de 2012.</w:t>
      </w:r>
    </w:p>
    <w:p w14:paraId="2D537598" w14:textId="77777777" w:rsidR="00332615" w:rsidRPr="00332615" w:rsidRDefault="00332615" w:rsidP="00332615">
      <w:pPr>
        <w:jc w:val="both"/>
        <w:rPr>
          <w:rFonts w:ascii="Verdana" w:hAnsi="Verdana"/>
          <w:sz w:val="22"/>
          <w:szCs w:val="22"/>
        </w:rPr>
      </w:pPr>
      <w:r w:rsidRPr="00332615">
        <w:rPr>
          <w:rFonts w:ascii="Verdana" w:hAnsi="Verdana"/>
          <w:sz w:val="22"/>
          <w:szCs w:val="22"/>
        </w:rPr>
        <w:t>Atentamente</w:t>
      </w:r>
    </w:p>
    <w:p w14:paraId="75D3043C" w14:textId="3DE1CCB5" w:rsidR="00332615" w:rsidRPr="00332615" w:rsidRDefault="00332615" w:rsidP="00332615">
      <w:pPr>
        <w:jc w:val="center"/>
        <w:rPr>
          <w:rFonts w:ascii="Verdana" w:hAnsi="Verdana"/>
          <w:sz w:val="22"/>
          <w:szCs w:val="22"/>
        </w:rPr>
      </w:pPr>
      <w:r w:rsidRPr="00332615">
        <w:rPr>
          <w:rFonts w:ascii="Verdana" w:hAnsi="Verdana"/>
          <w:b/>
          <w:bCs/>
          <w:sz w:val="22"/>
          <w:szCs w:val="22"/>
        </w:rPr>
        <w:t>MARÍA TERESA SALAMANCA ACOSTA</w:t>
      </w:r>
    </w:p>
    <w:p w14:paraId="3B565E98" w14:textId="65C3770B" w:rsidR="00332615" w:rsidRDefault="00332615" w:rsidP="00332615">
      <w:pPr>
        <w:jc w:val="center"/>
        <w:rPr>
          <w:rFonts w:ascii="Verdana" w:hAnsi="Verdana"/>
          <w:sz w:val="22"/>
          <w:szCs w:val="22"/>
        </w:rPr>
      </w:pPr>
      <w:r w:rsidRPr="00332615">
        <w:rPr>
          <w:rFonts w:ascii="Verdana" w:hAnsi="Verdana"/>
          <w:sz w:val="22"/>
          <w:szCs w:val="22"/>
        </w:rPr>
        <w:t>JEFE OFICINA ASESORA JURÍDICA</w:t>
      </w:r>
    </w:p>
    <w:p w14:paraId="5B52A125" w14:textId="77777777" w:rsidR="00332615" w:rsidRPr="00332615" w:rsidRDefault="00332615" w:rsidP="00332615">
      <w:pPr>
        <w:jc w:val="both"/>
        <w:rPr>
          <w:rFonts w:ascii="Verdana" w:hAnsi="Verdana"/>
          <w:sz w:val="22"/>
          <w:szCs w:val="22"/>
        </w:rPr>
      </w:pPr>
    </w:p>
    <w:p w14:paraId="7B77BD2A" w14:textId="71E94EFA" w:rsidR="00332615" w:rsidRPr="00332615" w:rsidRDefault="006E7969" w:rsidP="00332615">
      <w:pPr>
        <w:jc w:val="both"/>
        <w:rPr>
          <w:rFonts w:ascii="Verdana" w:hAnsi="Verdana"/>
          <w:sz w:val="22"/>
          <w:szCs w:val="22"/>
        </w:rPr>
      </w:pPr>
      <w:r>
        <w:rPr>
          <w:rFonts w:ascii="Verdana" w:hAnsi="Verdana"/>
          <w:b/>
          <w:bCs/>
          <w:sz w:val="22"/>
          <w:szCs w:val="22"/>
        </w:rPr>
        <w:t>Notas pie de página:</w:t>
      </w:r>
    </w:p>
    <w:p w14:paraId="3BA0ED31" w14:textId="1AEC8D05" w:rsidR="00332615" w:rsidRPr="006E7969" w:rsidRDefault="00332615" w:rsidP="00332615">
      <w:pPr>
        <w:jc w:val="both"/>
        <w:rPr>
          <w:rFonts w:ascii="Verdana" w:hAnsi="Verdana"/>
          <w:sz w:val="22"/>
          <w:szCs w:val="22"/>
        </w:rPr>
      </w:pPr>
      <w:bookmarkStart w:id="0" w:name="NF1"/>
      <w:r w:rsidRPr="006E7969">
        <w:rPr>
          <w:rFonts w:ascii="Verdana" w:hAnsi="Verdana"/>
          <w:sz w:val="22"/>
          <w:szCs w:val="22"/>
        </w:rPr>
        <w:t>1.</w:t>
      </w:r>
      <w:bookmarkEnd w:id="0"/>
      <w:r w:rsidRPr="006E7969">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w:t>
      </w:r>
      <w:r w:rsidRPr="006E7969">
        <w:rPr>
          <w:rFonts w:ascii="Verdana" w:hAnsi="Verdana"/>
          <w:sz w:val="22"/>
          <w:szCs w:val="22"/>
        </w:rPr>
        <w:lastRenderedPageBreak/>
        <w:t>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servido." Corte Constitucional. Sentencia C - 877 de 2000. M.P. Antonio Barrera Carbonell.</w:t>
      </w:r>
    </w:p>
    <w:p w14:paraId="52F4F085" w14:textId="77777777" w:rsidR="00A724C4" w:rsidRPr="006E7969" w:rsidRDefault="00A724C4" w:rsidP="00332615">
      <w:pPr>
        <w:jc w:val="both"/>
        <w:rPr>
          <w:rFonts w:ascii="Verdana" w:hAnsi="Verdana"/>
          <w:sz w:val="22"/>
          <w:szCs w:val="22"/>
        </w:rPr>
      </w:pPr>
    </w:p>
    <w:sectPr w:rsidR="00A724C4" w:rsidRPr="006E79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B86"/>
    <w:multiLevelType w:val="hybridMultilevel"/>
    <w:tmpl w:val="EC5E9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B773EDF"/>
    <w:multiLevelType w:val="hybridMultilevel"/>
    <w:tmpl w:val="5992BB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FB47C8"/>
    <w:multiLevelType w:val="hybridMultilevel"/>
    <w:tmpl w:val="F774E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5EF2379"/>
    <w:multiLevelType w:val="hybridMultilevel"/>
    <w:tmpl w:val="6E0E8252"/>
    <w:lvl w:ilvl="0" w:tplc="FB4050B8">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58034870">
    <w:abstractNumId w:val="0"/>
  </w:num>
  <w:num w:numId="2" w16cid:durableId="1376393480">
    <w:abstractNumId w:val="3"/>
  </w:num>
  <w:num w:numId="3" w16cid:durableId="1398749506">
    <w:abstractNumId w:val="1"/>
  </w:num>
  <w:num w:numId="4" w16cid:durableId="1534265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F4"/>
    <w:rsid w:val="00243CB4"/>
    <w:rsid w:val="00332615"/>
    <w:rsid w:val="004D45FA"/>
    <w:rsid w:val="006E7969"/>
    <w:rsid w:val="00756B6C"/>
    <w:rsid w:val="00A724C4"/>
    <w:rsid w:val="00BB5C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C306"/>
  <w15:chartTrackingRefBased/>
  <w15:docId w15:val="{591244C8-475D-4585-BE65-4D12F55F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5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5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5C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5C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5C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5C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5C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5C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5C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C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5C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5C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5C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5C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5C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5C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5C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5CF4"/>
    <w:rPr>
      <w:rFonts w:eastAsiaTheme="majorEastAsia" w:cstheme="majorBidi"/>
      <w:color w:val="272727" w:themeColor="text1" w:themeTint="D8"/>
    </w:rPr>
  </w:style>
  <w:style w:type="paragraph" w:styleId="Ttulo">
    <w:name w:val="Title"/>
    <w:basedOn w:val="Normal"/>
    <w:next w:val="Normal"/>
    <w:link w:val="TtuloCar"/>
    <w:uiPriority w:val="10"/>
    <w:qFormat/>
    <w:rsid w:val="00BB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5C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5C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5C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5CF4"/>
    <w:pPr>
      <w:spacing w:before="160"/>
      <w:jc w:val="center"/>
    </w:pPr>
    <w:rPr>
      <w:i/>
      <w:iCs/>
      <w:color w:val="404040" w:themeColor="text1" w:themeTint="BF"/>
    </w:rPr>
  </w:style>
  <w:style w:type="character" w:customStyle="1" w:styleId="CitaCar">
    <w:name w:val="Cita Car"/>
    <w:basedOn w:val="Fuentedeprrafopredeter"/>
    <w:link w:val="Cita"/>
    <w:uiPriority w:val="29"/>
    <w:rsid w:val="00BB5CF4"/>
    <w:rPr>
      <w:i/>
      <w:iCs/>
      <w:color w:val="404040" w:themeColor="text1" w:themeTint="BF"/>
    </w:rPr>
  </w:style>
  <w:style w:type="paragraph" w:styleId="Prrafodelista">
    <w:name w:val="List Paragraph"/>
    <w:basedOn w:val="Normal"/>
    <w:uiPriority w:val="34"/>
    <w:qFormat/>
    <w:rsid w:val="00BB5CF4"/>
    <w:pPr>
      <w:ind w:left="720"/>
      <w:contextualSpacing/>
    </w:pPr>
  </w:style>
  <w:style w:type="character" w:styleId="nfasisintenso">
    <w:name w:val="Intense Emphasis"/>
    <w:basedOn w:val="Fuentedeprrafopredeter"/>
    <w:uiPriority w:val="21"/>
    <w:qFormat/>
    <w:rsid w:val="00BB5CF4"/>
    <w:rPr>
      <w:i/>
      <w:iCs/>
      <w:color w:val="0F4761" w:themeColor="accent1" w:themeShade="BF"/>
    </w:rPr>
  </w:style>
  <w:style w:type="paragraph" w:styleId="Citadestacada">
    <w:name w:val="Intense Quote"/>
    <w:basedOn w:val="Normal"/>
    <w:next w:val="Normal"/>
    <w:link w:val="CitadestacadaCar"/>
    <w:uiPriority w:val="30"/>
    <w:qFormat/>
    <w:rsid w:val="00BB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5CF4"/>
    <w:rPr>
      <w:i/>
      <w:iCs/>
      <w:color w:val="0F4761" w:themeColor="accent1" w:themeShade="BF"/>
    </w:rPr>
  </w:style>
  <w:style w:type="character" w:styleId="Referenciaintensa">
    <w:name w:val="Intense Reference"/>
    <w:basedOn w:val="Fuentedeprrafopredeter"/>
    <w:uiPriority w:val="32"/>
    <w:qFormat/>
    <w:rsid w:val="00BB5CF4"/>
    <w:rPr>
      <w:b/>
      <w:bCs/>
      <w:smallCaps/>
      <w:color w:val="0F4761" w:themeColor="accent1" w:themeShade="BF"/>
      <w:spacing w:val="5"/>
    </w:rPr>
  </w:style>
  <w:style w:type="character" w:styleId="Hipervnculo">
    <w:name w:val="Hyperlink"/>
    <w:basedOn w:val="Fuentedeprrafopredeter"/>
    <w:uiPriority w:val="99"/>
    <w:unhideWhenUsed/>
    <w:rsid w:val="00332615"/>
    <w:rPr>
      <w:color w:val="467886" w:themeColor="hyperlink"/>
      <w:u w:val="single"/>
    </w:rPr>
  </w:style>
  <w:style w:type="character" w:styleId="Mencinsinresolver">
    <w:name w:val="Unresolved Mention"/>
    <w:basedOn w:val="Fuentedeprrafopredeter"/>
    <w:uiPriority w:val="99"/>
    <w:semiHidden/>
    <w:unhideWhenUsed/>
    <w:rsid w:val="0033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4AC21-8D5B-4FA7-8A70-C748F2C9F00E}"/>
</file>

<file path=customXml/itemProps2.xml><?xml version="1.0" encoding="utf-8"?>
<ds:datastoreItem xmlns:ds="http://schemas.openxmlformats.org/officeDocument/2006/customXml" ds:itemID="{2889C50D-E591-4BB0-B8E6-618B4F3C824C}"/>
</file>

<file path=customXml/itemProps3.xml><?xml version="1.0" encoding="utf-8"?>
<ds:datastoreItem xmlns:ds="http://schemas.openxmlformats.org/officeDocument/2006/customXml" ds:itemID="{A79D91B6-EC1E-4136-A8D5-C67A01F61B7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8818</Characters>
  <Application>Microsoft Office Word</Application>
  <DocSecurity>0</DocSecurity>
  <Lines>73</Lines>
  <Paragraphs>20</Paragraphs>
  <ScaleCrop>false</ScaleCrop>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2026-05-01T02:03:00Z</dcterms:created>
  <dcterms:modified xsi:type="dcterms:W3CDTF">2026-05-04T16:22:00Z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