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11E40" w14:textId="77777777" w:rsidR="0017222D" w:rsidRPr="0017222D" w:rsidRDefault="0017222D" w:rsidP="00B33194">
      <w:pPr>
        <w:spacing w:line="240" w:lineRule="auto"/>
        <w:jc w:val="center"/>
        <w:rPr>
          <w:rFonts w:ascii="Verdana" w:hAnsi="Verdana"/>
          <w:sz w:val="22"/>
          <w:szCs w:val="22"/>
        </w:rPr>
      </w:pPr>
      <w:r w:rsidRPr="0017222D">
        <w:rPr>
          <w:rFonts w:ascii="Verdana" w:hAnsi="Verdana"/>
          <w:b/>
          <w:bCs/>
          <w:sz w:val="22"/>
          <w:szCs w:val="22"/>
        </w:rPr>
        <w:t>CONCEPTO 72 DE 2015</w:t>
      </w:r>
    </w:p>
    <w:p w14:paraId="23524350" w14:textId="77777777" w:rsidR="0017222D" w:rsidRPr="0017222D" w:rsidRDefault="0017222D" w:rsidP="00B33194">
      <w:pPr>
        <w:spacing w:line="240" w:lineRule="auto"/>
        <w:jc w:val="center"/>
        <w:rPr>
          <w:rFonts w:ascii="Verdana" w:hAnsi="Verdana"/>
          <w:sz w:val="22"/>
          <w:szCs w:val="22"/>
        </w:rPr>
      </w:pPr>
      <w:r w:rsidRPr="0017222D">
        <w:rPr>
          <w:rFonts w:ascii="Verdana" w:hAnsi="Verdana"/>
          <w:sz w:val="22"/>
          <w:szCs w:val="22"/>
        </w:rPr>
        <w:t>(junio 11)</w:t>
      </w:r>
    </w:p>
    <w:p w14:paraId="125DDE43" w14:textId="77777777" w:rsidR="0017222D" w:rsidRPr="0017222D" w:rsidRDefault="0017222D" w:rsidP="00B33194">
      <w:pPr>
        <w:spacing w:line="240" w:lineRule="auto"/>
        <w:jc w:val="center"/>
        <w:rPr>
          <w:rFonts w:ascii="Verdana" w:hAnsi="Verdana"/>
          <w:sz w:val="22"/>
          <w:szCs w:val="22"/>
        </w:rPr>
      </w:pPr>
      <w:r w:rsidRPr="0017222D">
        <w:rPr>
          <w:rFonts w:ascii="Verdana" w:hAnsi="Verdana"/>
          <w:b/>
          <w:bCs/>
          <w:sz w:val="22"/>
          <w:szCs w:val="22"/>
        </w:rPr>
        <w:t>INSTITUTO COLOMBIANO DE BIENESTAR FAMILIAR - ICBF</w:t>
      </w:r>
    </w:p>
    <w:p w14:paraId="19E72788" w14:textId="77777777" w:rsidR="00B33194" w:rsidRDefault="00B33194" w:rsidP="0017222D">
      <w:pPr>
        <w:spacing w:line="240" w:lineRule="auto"/>
        <w:jc w:val="both"/>
        <w:rPr>
          <w:rFonts w:ascii="Verdana" w:hAnsi="Verdana"/>
          <w:sz w:val="22"/>
          <w:szCs w:val="22"/>
        </w:rPr>
      </w:pPr>
    </w:p>
    <w:p w14:paraId="7BA7B3B3" w14:textId="07EC939A" w:rsidR="0017222D" w:rsidRPr="0017222D" w:rsidRDefault="0017222D" w:rsidP="0017222D">
      <w:pPr>
        <w:spacing w:line="240" w:lineRule="auto"/>
        <w:jc w:val="both"/>
        <w:rPr>
          <w:rFonts w:ascii="Verdana" w:hAnsi="Verdana"/>
          <w:sz w:val="22"/>
          <w:szCs w:val="22"/>
        </w:rPr>
      </w:pPr>
      <w:r w:rsidRPr="00B33194">
        <w:rPr>
          <w:rFonts w:ascii="Verdana" w:hAnsi="Verdana"/>
          <w:b/>
          <w:bCs/>
          <w:sz w:val="22"/>
          <w:szCs w:val="22"/>
        </w:rPr>
        <w:t xml:space="preserve">ASUNTO: </w:t>
      </w:r>
      <w:r w:rsidRPr="0017222D">
        <w:rPr>
          <w:rFonts w:ascii="Verdana" w:hAnsi="Verdana"/>
          <w:sz w:val="22"/>
          <w:szCs w:val="22"/>
        </w:rPr>
        <w:t>Consulta sobre impugnación a la paternidad</w:t>
      </w:r>
    </w:p>
    <w:p w14:paraId="6BA5E744" w14:textId="04673491" w:rsidR="0017222D" w:rsidRDefault="0017222D" w:rsidP="0017222D">
      <w:pPr>
        <w:spacing w:line="240" w:lineRule="auto"/>
        <w:jc w:val="both"/>
        <w:rPr>
          <w:rFonts w:ascii="Verdana" w:hAnsi="Verdana"/>
          <w:sz w:val="22"/>
          <w:szCs w:val="22"/>
        </w:rPr>
      </w:pPr>
      <w:r w:rsidRPr="0017222D">
        <w:rPr>
          <w:rFonts w:ascii="Verdana" w:hAnsi="Verdana"/>
          <w:sz w:val="22"/>
          <w:szCs w:val="22"/>
        </w:rPr>
        <w:t>De manera atenta, en relación con el asunto de la referencia, en los términos previstos en los artículos </w:t>
      </w:r>
      <w:r w:rsidRPr="00B33194">
        <w:rPr>
          <w:rFonts w:ascii="Verdana" w:hAnsi="Verdana"/>
          <w:sz w:val="22"/>
          <w:szCs w:val="22"/>
        </w:rPr>
        <w:t>26</w:t>
      </w:r>
      <w:r w:rsidRPr="0017222D">
        <w:rPr>
          <w:rFonts w:ascii="Verdana" w:hAnsi="Verdana"/>
          <w:sz w:val="22"/>
          <w:szCs w:val="22"/>
        </w:rPr>
        <w:t> del Código Civil, </w:t>
      </w:r>
      <w:r w:rsidRPr="00B33194">
        <w:rPr>
          <w:rFonts w:ascii="Verdana" w:hAnsi="Verdana"/>
          <w:sz w:val="22"/>
          <w:szCs w:val="22"/>
        </w:rPr>
        <w:t>13</w:t>
      </w:r>
      <w:r w:rsidRPr="0017222D">
        <w:rPr>
          <w:rFonts w:ascii="Verdana" w:hAnsi="Verdana"/>
          <w:sz w:val="22"/>
          <w:szCs w:val="22"/>
        </w:rPr>
        <w:t> y ss. del Código de Procedimiento Administrativo y de lo Contencioso Administrativo, y </w:t>
      </w:r>
      <w:r w:rsidRPr="00B33194">
        <w:rPr>
          <w:rFonts w:ascii="Verdana" w:hAnsi="Verdana"/>
          <w:i/>
          <w:iCs/>
          <w:sz w:val="22"/>
          <w:szCs w:val="22"/>
        </w:rPr>
        <w:t>6</w:t>
      </w:r>
      <w:r w:rsidRPr="0017222D">
        <w:rPr>
          <w:rFonts w:ascii="Verdana" w:hAnsi="Verdana"/>
          <w:sz w:val="22"/>
          <w:szCs w:val="22"/>
        </w:rPr>
        <w:t>o, numeral 4, del Decreto 987 de 2012, se responde la solicitud de concepto definitivo sobre el caso en cuestión, en los términos que siguen:</w:t>
      </w:r>
    </w:p>
    <w:p w14:paraId="641D3E23" w14:textId="77777777" w:rsidR="00B33194" w:rsidRPr="0017222D" w:rsidRDefault="00B33194" w:rsidP="0017222D">
      <w:pPr>
        <w:spacing w:line="240" w:lineRule="auto"/>
        <w:jc w:val="both"/>
        <w:rPr>
          <w:rFonts w:ascii="Verdana" w:hAnsi="Verdana"/>
          <w:sz w:val="22"/>
          <w:szCs w:val="22"/>
        </w:rPr>
      </w:pPr>
    </w:p>
    <w:p w14:paraId="56A604AD" w14:textId="77777777" w:rsidR="0017222D" w:rsidRPr="0017222D" w:rsidRDefault="0017222D" w:rsidP="0017222D">
      <w:pPr>
        <w:spacing w:line="240" w:lineRule="auto"/>
        <w:jc w:val="both"/>
        <w:rPr>
          <w:rFonts w:ascii="Verdana" w:hAnsi="Verdana"/>
          <w:sz w:val="22"/>
          <w:szCs w:val="22"/>
        </w:rPr>
      </w:pPr>
      <w:r w:rsidRPr="0017222D">
        <w:rPr>
          <w:rFonts w:ascii="Verdana" w:hAnsi="Verdana"/>
          <w:b/>
          <w:bCs/>
          <w:sz w:val="22"/>
          <w:szCs w:val="22"/>
        </w:rPr>
        <w:t>1. PROBLEMA JURÍDICO</w:t>
      </w:r>
    </w:p>
    <w:p w14:paraId="3A0E4D1F" w14:textId="77777777" w:rsidR="0017222D" w:rsidRDefault="0017222D" w:rsidP="0017222D">
      <w:pPr>
        <w:spacing w:line="240" w:lineRule="auto"/>
        <w:jc w:val="both"/>
        <w:rPr>
          <w:rFonts w:ascii="Verdana" w:hAnsi="Verdana"/>
          <w:sz w:val="22"/>
          <w:szCs w:val="22"/>
        </w:rPr>
      </w:pPr>
      <w:r w:rsidRPr="0017222D">
        <w:rPr>
          <w:rFonts w:ascii="Verdana" w:hAnsi="Verdana"/>
          <w:sz w:val="22"/>
          <w:szCs w:val="22"/>
        </w:rPr>
        <w:t>¿Se puede impugnar la paternidad de un hijo que fue reconocido voluntariamente?</w:t>
      </w:r>
    </w:p>
    <w:p w14:paraId="7267AF04" w14:textId="77777777" w:rsidR="00B33194" w:rsidRPr="0017222D" w:rsidRDefault="00B33194" w:rsidP="0017222D">
      <w:pPr>
        <w:spacing w:line="240" w:lineRule="auto"/>
        <w:jc w:val="both"/>
        <w:rPr>
          <w:rFonts w:ascii="Verdana" w:hAnsi="Verdana"/>
          <w:sz w:val="22"/>
          <w:szCs w:val="22"/>
        </w:rPr>
      </w:pPr>
    </w:p>
    <w:p w14:paraId="51B163CB" w14:textId="77777777" w:rsidR="0017222D" w:rsidRPr="0017222D" w:rsidRDefault="0017222D" w:rsidP="0017222D">
      <w:pPr>
        <w:spacing w:line="240" w:lineRule="auto"/>
        <w:jc w:val="both"/>
        <w:rPr>
          <w:rFonts w:ascii="Verdana" w:hAnsi="Verdana"/>
          <w:sz w:val="22"/>
          <w:szCs w:val="22"/>
        </w:rPr>
      </w:pPr>
      <w:r w:rsidRPr="0017222D">
        <w:rPr>
          <w:rFonts w:ascii="Verdana" w:hAnsi="Verdana"/>
          <w:b/>
          <w:bCs/>
          <w:sz w:val="22"/>
          <w:szCs w:val="22"/>
        </w:rPr>
        <w:t>2. ANALISIS DEL PROBLEMA JURÍDICO</w:t>
      </w:r>
    </w:p>
    <w:p w14:paraId="1D4E522B" w14:textId="77777777" w:rsidR="0017222D" w:rsidRDefault="0017222D" w:rsidP="0017222D">
      <w:pPr>
        <w:spacing w:line="240" w:lineRule="auto"/>
        <w:jc w:val="both"/>
        <w:rPr>
          <w:rFonts w:ascii="Verdana" w:hAnsi="Verdana"/>
          <w:sz w:val="22"/>
          <w:szCs w:val="22"/>
        </w:rPr>
      </w:pPr>
      <w:r w:rsidRPr="0017222D">
        <w:rPr>
          <w:rFonts w:ascii="Verdana" w:hAnsi="Verdana"/>
          <w:sz w:val="22"/>
          <w:szCs w:val="22"/>
        </w:rPr>
        <w:t>Metodológicamente, estudiaremos 2.1 La filiación natural 2.2 El reconocimiento voluntario de paternidad 2.3 La impugnación de la paternidad</w:t>
      </w:r>
    </w:p>
    <w:p w14:paraId="29F18812" w14:textId="77777777" w:rsidR="00B33194" w:rsidRPr="0017222D" w:rsidRDefault="00B33194" w:rsidP="0017222D">
      <w:pPr>
        <w:spacing w:line="240" w:lineRule="auto"/>
        <w:jc w:val="both"/>
        <w:rPr>
          <w:rFonts w:ascii="Verdana" w:hAnsi="Verdana"/>
          <w:sz w:val="22"/>
          <w:szCs w:val="22"/>
        </w:rPr>
      </w:pPr>
    </w:p>
    <w:p w14:paraId="60B2F2EB" w14:textId="77777777" w:rsidR="0017222D" w:rsidRPr="0017222D" w:rsidRDefault="0017222D" w:rsidP="0017222D">
      <w:pPr>
        <w:spacing w:line="240" w:lineRule="auto"/>
        <w:jc w:val="both"/>
        <w:rPr>
          <w:rFonts w:ascii="Verdana" w:hAnsi="Verdana"/>
          <w:sz w:val="22"/>
          <w:szCs w:val="22"/>
        </w:rPr>
      </w:pPr>
      <w:r w:rsidRPr="0017222D">
        <w:rPr>
          <w:rFonts w:ascii="Verdana" w:hAnsi="Verdana"/>
          <w:b/>
          <w:bCs/>
          <w:sz w:val="22"/>
          <w:szCs w:val="22"/>
        </w:rPr>
        <w:t>2.1 La Filiación Natural</w:t>
      </w:r>
    </w:p>
    <w:p w14:paraId="4C1DFD28" w14:textId="77777777" w:rsidR="0017222D" w:rsidRPr="0017222D" w:rsidRDefault="0017222D" w:rsidP="0017222D">
      <w:pPr>
        <w:spacing w:line="240" w:lineRule="auto"/>
        <w:jc w:val="both"/>
        <w:rPr>
          <w:rFonts w:ascii="Verdana" w:hAnsi="Verdana"/>
          <w:sz w:val="22"/>
          <w:szCs w:val="22"/>
        </w:rPr>
      </w:pPr>
      <w:proofErr w:type="gramStart"/>
      <w:r w:rsidRPr="0017222D">
        <w:rPr>
          <w:rFonts w:ascii="Verdana" w:hAnsi="Verdana"/>
          <w:sz w:val="22"/>
          <w:szCs w:val="22"/>
        </w:rPr>
        <w:t>De acuerdo a</w:t>
      </w:r>
      <w:proofErr w:type="gramEnd"/>
      <w:r w:rsidRPr="0017222D">
        <w:rPr>
          <w:rFonts w:ascii="Verdana" w:hAnsi="Verdana"/>
          <w:sz w:val="22"/>
          <w:szCs w:val="22"/>
        </w:rPr>
        <w:t xml:space="preserve"> la Jurisprudencia Constitucional, la Filiación es "</w:t>
      </w:r>
      <w:r w:rsidRPr="0017222D">
        <w:rPr>
          <w:rFonts w:ascii="Verdana" w:hAnsi="Verdana"/>
          <w:i/>
          <w:iCs/>
          <w:sz w:val="22"/>
          <w:szCs w:val="22"/>
        </w:rPr>
        <w:t>uno de los atributos de la personalidad jurídica, puesto que ella está indisolublemente ligada al estado civil de la persona, y que, en este sentido, las personas tienen dentro del derecho constitucional colombiano, un verdadero “derecho a reclamar su verdadera filiación"</w:t>
      </w:r>
      <w:r w:rsidRPr="0017222D">
        <w:rPr>
          <w:rFonts w:ascii="Verdana" w:hAnsi="Verdana"/>
          <w:i/>
          <w:iCs/>
          <w:sz w:val="22"/>
          <w:szCs w:val="22"/>
          <w:vertAlign w:val="subscript"/>
        </w:rPr>
        <w:t>[1]</w:t>
      </w:r>
    </w:p>
    <w:p w14:paraId="3585D4ED" w14:textId="77777777"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 xml:space="preserve">En efecto, la filiación es la relación que existe entre padre o madre hijo o hija, proporcionando una identidad a toda persona, implicando derechos y obligaciones entre estos, por lo </w:t>
      </w:r>
      <w:proofErr w:type="gramStart"/>
      <w:r w:rsidRPr="0017222D">
        <w:rPr>
          <w:rFonts w:ascii="Verdana" w:hAnsi="Verdana"/>
          <w:sz w:val="22"/>
          <w:szCs w:val="22"/>
        </w:rPr>
        <w:t>tanto</w:t>
      </w:r>
      <w:proofErr w:type="gramEnd"/>
      <w:r w:rsidRPr="0017222D">
        <w:rPr>
          <w:rFonts w:ascii="Verdana" w:hAnsi="Verdana"/>
          <w:sz w:val="22"/>
          <w:szCs w:val="22"/>
        </w:rPr>
        <w:t xml:space="preserve"> es importante resaltar que las normas sobre filiación como todas las de carácter familiar son de orden público y por ende no pueden ser variadas por voluntad de las partes.</w:t>
      </w:r>
    </w:p>
    <w:p w14:paraId="6A46696D" w14:textId="6EB9F057"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La Convención de los Derechos del Niño, adoptada por la Asamblea General de las Naciones Unidas el 20 de noviembre de 1989 y acogida por Colombia mediante Ley </w:t>
      </w:r>
      <w:r w:rsidRPr="00B33194">
        <w:rPr>
          <w:rFonts w:ascii="Verdana" w:hAnsi="Verdana"/>
          <w:sz w:val="22"/>
          <w:szCs w:val="22"/>
        </w:rPr>
        <w:t>12</w:t>
      </w:r>
      <w:r w:rsidRPr="0017222D">
        <w:rPr>
          <w:rFonts w:ascii="Verdana" w:hAnsi="Verdana"/>
          <w:sz w:val="22"/>
          <w:szCs w:val="22"/>
        </w:rPr>
        <w:t> de 1991,</w:t>
      </w:r>
      <w:r w:rsidRPr="0017222D">
        <w:rPr>
          <w:rFonts w:ascii="Verdana" w:hAnsi="Verdana"/>
          <w:sz w:val="22"/>
          <w:szCs w:val="22"/>
          <w:vertAlign w:val="subscript"/>
        </w:rPr>
        <w:t>[2]</w:t>
      </w:r>
      <w:r w:rsidRPr="0017222D">
        <w:rPr>
          <w:rFonts w:ascii="Verdana" w:hAnsi="Verdana"/>
          <w:sz w:val="22"/>
          <w:szCs w:val="22"/>
        </w:rPr>
        <w:t xml:space="preserve"> establece que todo niño, niña adquiere, desde que nace el derecho a un nombre, a adquirir una nacionalidad y en la medida de lo posible, a conocer a sus padres y a ser cuidado por ellos. Es así </w:t>
      </w:r>
      <w:proofErr w:type="gramStart"/>
      <w:r w:rsidRPr="0017222D">
        <w:rPr>
          <w:rFonts w:ascii="Verdana" w:hAnsi="Verdana"/>
          <w:sz w:val="22"/>
          <w:szCs w:val="22"/>
        </w:rPr>
        <w:t>que</w:t>
      </w:r>
      <w:proofErr w:type="gramEnd"/>
      <w:r w:rsidRPr="0017222D">
        <w:rPr>
          <w:rFonts w:ascii="Verdana" w:hAnsi="Verdana"/>
          <w:sz w:val="22"/>
          <w:szCs w:val="22"/>
        </w:rPr>
        <w:t xml:space="preserve"> por este Tratado a todos los niños, niñas y adolescentes se les reconoce el derecho fundamental a esclarecer su verdadera filiación, derecho que es a su vez reconocido en el artículo </w:t>
      </w:r>
      <w:r w:rsidRPr="00B33194">
        <w:rPr>
          <w:rFonts w:ascii="Verdana" w:hAnsi="Verdana"/>
          <w:sz w:val="22"/>
          <w:szCs w:val="22"/>
        </w:rPr>
        <w:t>44</w:t>
      </w:r>
      <w:r w:rsidRPr="0017222D">
        <w:rPr>
          <w:rFonts w:ascii="Verdana" w:hAnsi="Verdana"/>
          <w:sz w:val="22"/>
          <w:szCs w:val="22"/>
        </w:rPr>
        <w:t> de la Constitución Política de Colombia.</w:t>
      </w:r>
    </w:p>
    <w:p w14:paraId="2A4778EE" w14:textId="77777777"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lastRenderedPageBreak/>
        <w:t>Al respecto, la Corte Constitucional indicó que:</w:t>
      </w:r>
    </w:p>
    <w:p w14:paraId="12F6FF61"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"...toda persona -y en especial el niño- tiene derecho no solamente a llevar los apellidos de sus padres sino</w:t>
      </w:r>
      <w:r w:rsidRPr="0017222D">
        <w:rPr>
          <w:rFonts w:ascii="Verdana" w:hAnsi="Verdana"/>
          <w:sz w:val="22"/>
          <w:szCs w:val="22"/>
        </w:rPr>
        <w:t> a </w:t>
      </w:r>
      <w:r w:rsidRPr="0017222D">
        <w:rPr>
          <w:rFonts w:ascii="Verdana" w:hAnsi="Verdana"/>
          <w:i/>
          <w:iCs/>
          <w:sz w:val="22"/>
          <w:szCs w:val="22"/>
        </w:rPr>
        <w:t>obtener certeza sobre su filiación, tanto paterna como materna, con el fin de reclamar su condición de hijo y para que se cumplan, en beneficio suyo, las obligaciones de sus progenitores.</w:t>
      </w:r>
    </w:p>
    <w:p w14:paraId="28AFF991"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w:t>
      </w:r>
    </w:p>
    <w:p w14:paraId="0205F48A"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El derecho del menor a un nombre y al conocimiento de su filiación resulta fundamental no solamente por el ya aludido mandato constitucional sino por cuanto en ello está de por medio su dignidad humana, ya que supone la posibilidad de ser identificado y diferenciado respecto de los demás individuos y el ejercicio de otros derechos, como los relativos a su alimentación, crianza, educación y establecimiento”.</w:t>
      </w:r>
    </w:p>
    <w:p w14:paraId="398302D6" w14:textId="77777777"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La filiación guarda relación de conexidad con otros principios y derechos fundamentales como el reconocimiento de la dignidad humana o el libre desarrollo de la personalidad,</w:t>
      </w:r>
      <w:r w:rsidRPr="0017222D">
        <w:rPr>
          <w:rFonts w:ascii="Verdana" w:hAnsi="Verdana"/>
          <w:sz w:val="22"/>
          <w:szCs w:val="22"/>
          <w:vertAlign w:val="subscript"/>
        </w:rPr>
        <w:t>[3]</w:t>
      </w:r>
      <w:r w:rsidRPr="0017222D">
        <w:rPr>
          <w:rFonts w:ascii="Verdana" w:hAnsi="Verdana"/>
          <w:sz w:val="22"/>
          <w:szCs w:val="22"/>
        </w:rPr>
        <w:t> motivo .por el cual, en caso de no lograrse un reconocimiento voluntario, las personas pueden hacer exigible su derecho ante las autoridades judiciales a través de los procesos que para tal efecto han sido diseñados, tales como la investigación de la paternidad o maternidad, y la impugnación de la paternidad o maternidad.</w:t>
      </w:r>
    </w:p>
    <w:p w14:paraId="7210A821" w14:textId="6E3A2628" w:rsidR="0017222D" w:rsidRDefault="0017222D" w:rsidP="0017222D">
      <w:pPr>
        <w:spacing w:line="240" w:lineRule="auto"/>
        <w:jc w:val="both"/>
        <w:rPr>
          <w:rFonts w:ascii="Verdana" w:hAnsi="Verdana"/>
          <w:sz w:val="22"/>
          <w:szCs w:val="22"/>
        </w:rPr>
      </w:pPr>
      <w:r w:rsidRPr="0017222D">
        <w:rPr>
          <w:rFonts w:ascii="Verdana" w:hAnsi="Verdana"/>
          <w:sz w:val="22"/>
          <w:szCs w:val="22"/>
        </w:rPr>
        <w:t>Respecto a la filiación extramatrimonial, es preciso indicar que es aquella filiación que no proviene de un matrimonio. Ahora bien, el legislador ha pretendido que este hijo extramatrimonial tenga los mismos derechos que los hijos legítimos y en búsqueda de tal propósito ha dotado a las personas de los instrumentos jurídicos para ejercer sus derechos, dentro de los cuales se encuentra el de determinar su verdadera filiación y obtenerla legalmente a través de la acción de reclamación para el reconocimiento del estado civil que no tiene, o el de la impugnación dirigida a destruir aquél estado que se posee aparentemente. Uno de esos instrumentos es la Ley </w:t>
      </w:r>
      <w:r w:rsidRPr="00B33194">
        <w:rPr>
          <w:rFonts w:ascii="Verdana" w:hAnsi="Verdana"/>
          <w:sz w:val="22"/>
          <w:szCs w:val="22"/>
        </w:rPr>
        <w:t>75</w:t>
      </w:r>
      <w:r w:rsidRPr="0017222D">
        <w:rPr>
          <w:rFonts w:ascii="Verdana" w:hAnsi="Verdana"/>
          <w:sz w:val="22"/>
          <w:szCs w:val="22"/>
        </w:rPr>
        <w:t> de 1.968, con las modificaciones introducidas por la Ley </w:t>
      </w:r>
      <w:r w:rsidRPr="00B33194">
        <w:rPr>
          <w:rFonts w:ascii="Verdana" w:hAnsi="Verdana"/>
          <w:sz w:val="22"/>
          <w:szCs w:val="22"/>
        </w:rPr>
        <w:t>721</w:t>
      </w:r>
      <w:r w:rsidRPr="0017222D">
        <w:rPr>
          <w:rFonts w:ascii="Verdana" w:hAnsi="Verdana"/>
          <w:sz w:val="22"/>
          <w:szCs w:val="22"/>
        </w:rPr>
        <w:t> de 2001 y la Ley </w:t>
      </w:r>
      <w:r w:rsidRPr="00B33194">
        <w:rPr>
          <w:rFonts w:ascii="Verdana" w:hAnsi="Verdana"/>
          <w:sz w:val="22"/>
          <w:szCs w:val="22"/>
        </w:rPr>
        <w:t>1060</w:t>
      </w:r>
      <w:r w:rsidRPr="0017222D">
        <w:rPr>
          <w:rFonts w:ascii="Verdana" w:hAnsi="Verdana"/>
          <w:sz w:val="22"/>
          <w:szCs w:val="22"/>
        </w:rPr>
        <w:t> de 2006.</w:t>
      </w:r>
    </w:p>
    <w:p w14:paraId="2DF5E969" w14:textId="77777777" w:rsidR="00B33194" w:rsidRPr="0017222D" w:rsidRDefault="00B33194" w:rsidP="0017222D">
      <w:pPr>
        <w:spacing w:line="240" w:lineRule="auto"/>
        <w:jc w:val="both"/>
        <w:rPr>
          <w:rFonts w:ascii="Verdana" w:hAnsi="Verdana"/>
          <w:sz w:val="22"/>
          <w:szCs w:val="22"/>
        </w:rPr>
      </w:pPr>
    </w:p>
    <w:p w14:paraId="040EE969" w14:textId="77777777" w:rsidR="0017222D" w:rsidRPr="0017222D" w:rsidRDefault="0017222D" w:rsidP="0017222D">
      <w:pPr>
        <w:spacing w:line="240" w:lineRule="auto"/>
        <w:jc w:val="both"/>
        <w:rPr>
          <w:rFonts w:ascii="Verdana" w:hAnsi="Verdana"/>
          <w:sz w:val="22"/>
          <w:szCs w:val="22"/>
        </w:rPr>
      </w:pPr>
      <w:r w:rsidRPr="0017222D">
        <w:rPr>
          <w:rFonts w:ascii="Verdana" w:hAnsi="Verdana"/>
          <w:b/>
          <w:bCs/>
          <w:sz w:val="22"/>
          <w:szCs w:val="22"/>
          <w:u w:val="single"/>
        </w:rPr>
        <w:t>2.2 El reconocimiento voluntario de paternidad</w:t>
      </w:r>
    </w:p>
    <w:p w14:paraId="4B1D1884" w14:textId="483C7BDF"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El artículo </w:t>
      </w:r>
      <w:r w:rsidRPr="00B33194">
        <w:rPr>
          <w:rFonts w:ascii="Verdana" w:hAnsi="Verdana"/>
          <w:sz w:val="22"/>
          <w:szCs w:val="22"/>
        </w:rPr>
        <w:t>1</w:t>
      </w:r>
      <w:r w:rsidRPr="0017222D">
        <w:rPr>
          <w:rFonts w:ascii="Verdana" w:hAnsi="Verdana"/>
          <w:sz w:val="22"/>
          <w:szCs w:val="22"/>
        </w:rPr>
        <w:t>o de la Ley 75 de 1968 que modificó el artículo </w:t>
      </w:r>
      <w:r w:rsidRPr="00B33194">
        <w:rPr>
          <w:rFonts w:ascii="Verdana" w:hAnsi="Verdana"/>
          <w:sz w:val="22"/>
          <w:szCs w:val="22"/>
        </w:rPr>
        <w:t>2</w:t>
      </w:r>
      <w:r w:rsidRPr="0017222D">
        <w:rPr>
          <w:rFonts w:ascii="Verdana" w:hAnsi="Verdana"/>
          <w:sz w:val="22"/>
          <w:szCs w:val="22"/>
        </w:rPr>
        <w:t>o de la Ley 45 de 1936 dice:</w:t>
      </w:r>
    </w:p>
    <w:p w14:paraId="364262B6"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"El reconocimiento de hijos naturales es irrevocable y puede hacerse:</w:t>
      </w:r>
    </w:p>
    <w:p w14:paraId="2BD1A308"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1. En el acta de nacimiento, firmándola quien reconoce.</w:t>
      </w:r>
    </w:p>
    <w:p w14:paraId="24682540"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 xml:space="preserve">El funcionario del Estado civil que extienda la partida de nacimiento de un hijo </w:t>
      </w:r>
      <w:proofErr w:type="gramStart"/>
      <w:r w:rsidRPr="0017222D">
        <w:rPr>
          <w:rFonts w:ascii="Verdana" w:hAnsi="Verdana"/>
          <w:i/>
          <w:iCs/>
          <w:sz w:val="22"/>
          <w:szCs w:val="22"/>
        </w:rPr>
        <w:t>natural,</w:t>
      </w:r>
      <w:proofErr w:type="gramEnd"/>
      <w:r w:rsidRPr="0017222D">
        <w:rPr>
          <w:rFonts w:ascii="Verdana" w:hAnsi="Verdana"/>
          <w:i/>
          <w:iCs/>
          <w:sz w:val="22"/>
          <w:szCs w:val="22"/>
        </w:rPr>
        <w:t xml:space="preserve"> indagará por el nombre, apellido, identidad y residencia del padre y de la madre, e inscribirá como tales a los que el declarante indique, con expresión de algún hecho probatorio y protesta de no faltar</w:t>
      </w:r>
      <w:r w:rsidRPr="0017222D">
        <w:rPr>
          <w:rFonts w:ascii="Verdana" w:hAnsi="Verdana"/>
          <w:sz w:val="22"/>
          <w:szCs w:val="22"/>
        </w:rPr>
        <w:t> a </w:t>
      </w:r>
      <w:r w:rsidRPr="0017222D">
        <w:rPr>
          <w:rFonts w:ascii="Verdana" w:hAnsi="Verdana"/>
          <w:i/>
          <w:iCs/>
          <w:sz w:val="22"/>
          <w:szCs w:val="22"/>
        </w:rPr>
        <w:t>la verdad. La inscripción del nombre del padre se hará en libro especial destinado a tal efecto y de ella sólo se expedirán copias a las personas indicadas en el ordinal 4o inciso 2o de este</w:t>
      </w:r>
      <w:r w:rsidRPr="0017222D">
        <w:rPr>
          <w:rFonts w:ascii="Verdana" w:hAnsi="Verdana"/>
          <w:sz w:val="22"/>
          <w:szCs w:val="22"/>
        </w:rPr>
        <w:t>; </w:t>
      </w:r>
      <w:r w:rsidRPr="0017222D">
        <w:rPr>
          <w:rFonts w:ascii="Verdana" w:hAnsi="Verdana"/>
          <w:i/>
          <w:iCs/>
          <w:sz w:val="22"/>
          <w:szCs w:val="22"/>
        </w:rPr>
        <w:t>artículo y a las autoridades judiciales y de policía que las solicitaren.</w:t>
      </w:r>
    </w:p>
    <w:p w14:paraId="4A69DCB2"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lastRenderedPageBreak/>
        <w:t>Dentro de los treinta días siguientes</w:t>
      </w:r>
      <w:r w:rsidRPr="0017222D">
        <w:rPr>
          <w:rFonts w:ascii="Verdana" w:hAnsi="Verdana"/>
          <w:sz w:val="22"/>
          <w:szCs w:val="22"/>
        </w:rPr>
        <w:t> a </w:t>
      </w:r>
      <w:r w:rsidRPr="0017222D">
        <w:rPr>
          <w:rFonts w:ascii="Verdana" w:hAnsi="Verdana"/>
          <w:i/>
          <w:iCs/>
          <w:sz w:val="22"/>
          <w:szCs w:val="22"/>
        </w:rPr>
        <w:t>la inscripción, el funcionario que la haya autorizado la notificará personalmente al presunto padre, si éste no hubiere firmado el acta de nacimiento. El notificado deberá expresar, en la misma notificación, al pie del acta respectiva, si acepta o rechaza el carácter de padre que en ella se le asigna, y si negare ser suyo el hijo, el funcionario procederá a comunicar el hecho al defensor de menores para que éste inicie la investigación de la paternidad.</w:t>
      </w:r>
    </w:p>
    <w:p w14:paraId="5A446756"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Igual procedimiento se seguirá en el</w:t>
      </w:r>
      <w:r w:rsidRPr="0017222D">
        <w:rPr>
          <w:rFonts w:ascii="Verdana" w:hAnsi="Verdana"/>
          <w:sz w:val="22"/>
          <w:szCs w:val="22"/>
        </w:rPr>
        <w:t> caso </w:t>
      </w:r>
      <w:r w:rsidRPr="0017222D">
        <w:rPr>
          <w:rFonts w:ascii="Verdana" w:hAnsi="Verdana"/>
          <w:i/>
          <w:iCs/>
          <w:sz w:val="22"/>
          <w:szCs w:val="22"/>
        </w:rPr>
        <w:t>de que la notificación no pueda llevarse a cabo en el término indicado o de que el declarante no indique el nombre del padre o de la madre.</w:t>
      </w:r>
    </w:p>
    <w:p w14:paraId="0D3D43CF"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Mientras no sea aceptada la atribución por el notificado, o la partida de nacimiento no se haya corregido en obediencia</w:t>
      </w:r>
      <w:r w:rsidRPr="0017222D">
        <w:rPr>
          <w:rFonts w:ascii="Verdana" w:hAnsi="Verdana"/>
          <w:sz w:val="22"/>
          <w:szCs w:val="22"/>
        </w:rPr>
        <w:t> a </w:t>
      </w:r>
      <w:r w:rsidRPr="0017222D">
        <w:rPr>
          <w:rFonts w:ascii="Verdana" w:hAnsi="Verdana"/>
          <w:i/>
          <w:iCs/>
          <w:sz w:val="22"/>
          <w:szCs w:val="22"/>
        </w:rPr>
        <w:t>fallo de la autoridad competente, no se expresará el nombre del padre en las copias que de ella llegaren a expedirse.</w:t>
      </w:r>
    </w:p>
    <w:p w14:paraId="025F0F74"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2. Por escritura pública.</w:t>
      </w:r>
    </w:p>
    <w:p w14:paraId="13E091E9"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 xml:space="preserve">3. Por testamento, caso en el cual la renovación de </w:t>
      </w:r>
      <w:proofErr w:type="gramStart"/>
      <w:r w:rsidRPr="0017222D">
        <w:rPr>
          <w:rFonts w:ascii="Verdana" w:hAnsi="Verdana"/>
          <w:i/>
          <w:iCs/>
          <w:sz w:val="22"/>
          <w:szCs w:val="22"/>
        </w:rPr>
        <w:t>éste</w:t>
      </w:r>
      <w:proofErr w:type="gramEnd"/>
      <w:r w:rsidRPr="0017222D">
        <w:rPr>
          <w:rFonts w:ascii="Verdana" w:hAnsi="Verdana"/>
          <w:i/>
          <w:iCs/>
          <w:sz w:val="22"/>
          <w:szCs w:val="22"/>
        </w:rPr>
        <w:t xml:space="preserve"> no implica la del reconocimiento.</w:t>
      </w:r>
    </w:p>
    <w:p w14:paraId="294A570A"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4. Por manifestación expresa y directa hecha ante un juez, aunque el reconocimiento no haya sido el objeto único y principal del acto que lo contiene.</w:t>
      </w:r>
    </w:p>
    <w:p w14:paraId="23F9D860" w14:textId="64B001A0"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El hijo, sus parientes hasta el cuarto grado de consanguinidad y cualquiera persona que haya cuidado de la crianza del menor o ejerza su guarda legal, el defensor de menores y el Ministerio Público, podrán pedir que el supuesto padre o madre sea citado personalmente ante el juez a declarar bajo juramento si cree serlo. Si el notificado no compareciere, pudiendo hacerlo y se hubiere repetido una vez la citación expresándose el objeto, se mirará como reconocida la paternidad, previos los trámites de una articulación</w:t>
      </w:r>
      <w:r w:rsidRPr="0017222D">
        <w:rPr>
          <w:rFonts w:ascii="Verdana" w:hAnsi="Verdana"/>
          <w:sz w:val="22"/>
          <w:szCs w:val="22"/>
        </w:rPr>
        <w:t>. </w:t>
      </w:r>
      <w:r w:rsidRPr="0017222D">
        <w:rPr>
          <w:rFonts w:ascii="Verdana" w:hAnsi="Verdana"/>
          <w:i/>
          <w:iCs/>
          <w:sz w:val="22"/>
          <w:szCs w:val="22"/>
        </w:rPr>
        <w:t>La declaración judicial será revisable en los términos del artículo </w:t>
      </w:r>
      <w:r w:rsidRPr="00B33194">
        <w:rPr>
          <w:rFonts w:ascii="Verdana" w:hAnsi="Verdana"/>
          <w:i/>
          <w:iCs/>
          <w:sz w:val="22"/>
          <w:szCs w:val="22"/>
        </w:rPr>
        <w:t>18</w:t>
      </w:r>
      <w:r w:rsidRPr="0017222D">
        <w:rPr>
          <w:rFonts w:ascii="Verdana" w:hAnsi="Verdana"/>
          <w:i/>
          <w:iCs/>
          <w:sz w:val="22"/>
          <w:szCs w:val="22"/>
        </w:rPr>
        <w:t> de la presente ley".</w:t>
      </w:r>
    </w:p>
    <w:p w14:paraId="42EEA820" w14:textId="77777777"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El reconocimiento de un hijo extramatrimonial puede ser un acto bilateral, en la medida que tanto el padre que pretende reconocer como el hijo a través de su representante legal acepten de común acuerdo la filiación que se está declarando.</w:t>
      </w:r>
    </w:p>
    <w:p w14:paraId="58B4B7E1" w14:textId="77777777"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Sin embargo, también puede ser un acto jurídico unilateral, en la medida que el padre puede hacer una manifestación de voluntad ante un funcionario competente para tal fin. Es importante destacar que sea bilateral o unilateral, la manifestación debe ser expresada de forma libre, voluntaria, sin que medie error, fuerza o dolo.</w:t>
      </w:r>
    </w:p>
    <w:p w14:paraId="27FF0DEE" w14:textId="77777777"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Ahora bien, como quiera que el reconocimiento de un hijo extramatrimonial también es un acto irrevocable,</w:t>
      </w:r>
      <w:r w:rsidRPr="0017222D">
        <w:rPr>
          <w:rFonts w:ascii="Verdana" w:hAnsi="Verdana"/>
          <w:sz w:val="22"/>
          <w:szCs w:val="22"/>
          <w:vertAlign w:val="subscript"/>
        </w:rPr>
        <w:t>[4]</w:t>
      </w:r>
      <w:r w:rsidRPr="0017222D">
        <w:rPr>
          <w:rFonts w:ascii="Verdana" w:hAnsi="Verdana"/>
          <w:sz w:val="22"/>
          <w:szCs w:val="22"/>
        </w:rPr>
        <w:t> es preciso resaltar que tal manifestación debe ser notificada a la persona a quien se pretende legitimar o reconocer para que, el hijo si es menor de edad a través de su representante legal acepte o repudie la legitimación.</w:t>
      </w:r>
    </w:p>
    <w:p w14:paraId="7EC6191B" w14:textId="53BE3A30"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Al respecto, el artículo </w:t>
      </w:r>
      <w:r w:rsidRPr="00B33194">
        <w:rPr>
          <w:rFonts w:ascii="Verdana" w:hAnsi="Verdana"/>
          <w:sz w:val="22"/>
          <w:szCs w:val="22"/>
        </w:rPr>
        <w:t>243</w:t>
      </w:r>
      <w:r w:rsidRPr="0017222D">
        <w:rPr>
          <w:rFonts w:ascii="Verdana" w:hAnsi="Verdana"/>
          <w:sz w:val="22"/>
          <w:szCs w:val="22"/>
        </w:rPr>
        <w:t> del Código Civil indica que:</w:t>
      </w:r>
    </w:p>
    <w:p w14:paraId="10BE231D"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lastRenderedPageBreak/>
        <w:t>La persona que acepte o repudie, deberá declararlo por instrumento público dentro de los noventa días subsiguientes a la notificación</w:t>
      </w:r>
      <w:r w:rsidRPr="0017222D">
        <w:rPr>
          <w:rFonts w:ascii="Verdana" w:hAnsi="Verdana"/>
          <w:sz w:val="22"/>
          <w:szCs w:val="22"/>
        </w:rPr>
        <w:t>, </w:t>
      </w:r>
      <w:r w:rsidRPr="0017222D">
        <w:rPr>
          <w:rFonts w:ascii="Verdana" w:hAnsi="Verdana"/>
          <w:i/>
          <w:iCs/>
          <w:sz w:val="22"/>
          <w:szCs w:val="22"/>
        </w:rPr>
        <w:t>Transcurridos este plazo, se entenderá que acepta, a menos de probarse que estuvo imposibilitada de hacer la declaración en tiempo hábil.</w:t>
      </w:r>
    </w:p>
    <w:p w14:paraId="6955BE37" w14:textId="77777777"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Sobre el procedimiento que debe seguirse para el reconocimiento de un hijo extramatrimonial, la Corte Constitucional ha dicho que:</w:t>
      </w:r>
    </w:p>
    <w:p w14:paraId="196F240B" w14:textId="3C578B65"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 xml:space="preserve">Los Notarios y los Registradores del Estado Civil son los encargados de llevar el registro del estado civil de las personas. La inscripción en el registro </w:t>
      </w:r>
      <w:proofErr w:type="gramStart"/>
      <w:r w:rsidRPr="0017222D">
        <w:rPr>
          <w:rFonts w:ascii="Verdana" w:hAnsi="Verdana"/>
          <w:i/>
          <w:iCs/>
          <w:sz w:val="22"/>
          <w:szCs w:val="22"/>
        </w:rPr>
        <w:t>civil,</w:t>
      </w:r>
      <w:proofErr w:type="gramEnd"/>
      <w:r w:rsidRPr="0017222D">
        <w:rPr>
          <w:rFonts w:ascii="Verdana" w:hAnsi="Verdana"/>
          <w:i/>
          <w:iCs/>
          <w:sz w:val="22"/>
          <w:szCs w:val="22"/>
        </w:rPr>
        <w:t xml:space="preserve"> es un procedimiento que sirve para establecer, probar, y publicar todo lo relacionado con el estado civil de las personas, desde su nacimiento hasta su muerte. La doctrina ha señalado, que el estado civil es un conjunto de situaciones jurídicas que relacionan</w:t>
      </w:r>
      <w:r w:rsidRPr="0017222D">
        <w:rPr>
          <w:rFonts w:ascii="Verdana" w:hAnsi="Verdana"/>
          <w:sz w:val="22"/>
          <w:szCs w:val="22"/>
        </w:rPr>
        <w:t> a </w:t>
      </w:r>
      <w:r w:rsidRPr="0017222D">
        <w:rPr>
          <w:rFonts w:ascii="Verdana" w:hAnsi="Verdana"/>
          <w:i/>
          <w:iCs/>
          <w:sz w:val="22"/>
          <w:szCs w:val="22"/>
        </w:rPr>
        <w:t>cada persona con la familia de donde proviene, o con la familia que ha formado y con ciertos hechos fundamentales de la misma personalidad. Igualmente, el decreto 1260 de 1970 artículo </w:t>
      </w:r>
      <w:r w:rsidRPr="00B33194">
        <w:rPr>
          <w:rFonts w:ascii="Verdana" w:hAnsi="Verdana"/>
          <w:i/>
          <w:iCs/>
          <w:sz w:val="22"/>
          <w:szCs w:val="22"/>
        </w:rPr>
        <w:t>1</w:t>
      </w:r>
      <w:r w:rsidRPr="0017222D">
        <w:rPr>
          <w:rFonts w:ascii="Verdana" w:hAnsi="Verdana"/>
          <w:i/>
          <w:iCs/>
          <w:sz w:val="22"/>
          <w:szCs w:val="22"/>
        </w:rPr>
        <w:t>, señala que el estado civil de una persona es su situación jurídica en la familia y la sociedad, determina su capacidad para ejercer derechos y contraer ciertas obligaciones, es indivisible, indisponible e imprescriptible. Por tanto, cada acto o hecho debe ser inscrito en el correspondiente registro. (T-</w:t>
      </w:r>
      <w:r w:rsidRPr="00B33194">
        <w:rPr>
          <w:rFonts w:ascii="Verdana" w:hAnsi="Verdana"/>
          <w:i/>
          <w:iCs/>
          <w:sz w:val="22"/>
          <w:szCs w:val="22"/>
        </w:rPr>
        <w:t>963</w:t>
      </w:r>
      <w:r w:rsidRPr="0017222D">
        <w:rPr>
          <w:rFonts w:ascii="Verdana" w:hAnsi="Verdana"/>
          <w:i/>
          <w:iCs/>
          <w:sz w:val="22"/>
          <w:szCs w:val="22"/>
        </w:rPr>
        <w:t>/01 Alfredo Beltrán Sierra).</w:t>
      </w:r>
    </w:p>
    <w:p w14:paraId="57C6683A"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De las normas que regulan la forma y el trámite del reconocimiento del hijo extramatrimonial por parte del padre, resulta claramente que al funcionario público o al Notario ante quién se extiende el instrumento público o ante quién se realiza la manifestación de voluntad de reconocimiento de la paternidad, le corresponde la obligación de notificarle dicho acto a la persona a quién se pretende legitimar o reconocer, y si es incapaz, a su tutor o curador. Esta obligación legal constituye el presupuesto necesario para el ejercicio del derecho a aceptar o repudiar el reconocimiento, pues de no hacerse la notificación, la persona no podrá enterarse que se produjo un acto jurídico que lo afecta, y por consiguiente no podrá ejercer su derecho de aceptar u oponerse.”</w:t>
      </w:r>
    </w:p>
    <w:p w14:paraId="719955AE" w14:textId="77777777"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Ahora bien, en caso de oponerse al reconocimiento paterno, el Notario o Registrador deberá remitir la solicitud de reconocimiento a la Autoridad Administrativa competente, para que ésta verifique si con la decisión de la representante legal se están vulnerando derechos fundamentales al niño, niña o adolescente, y de ésta manera adelantar las acciones a que haya lugar, dentro del marco de la Ley 1096 de 2006; igualmente el interesado podrá acudir a las instancias judiciales con el fin de establecer ja filiación legal y jurídica que corresponda, o si es del caso, destruir el estado civil que tiene aquel niño.</w:t>
      </w:r>
    </w:p>
    <w:p w14:paraId="2278E189" w14:textId="6B3B9725"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Así las cosas, si de lo que se trata es de establecer la filiación legal, podrá acudirse al proceso de investigación de paternidad, regulado específicamente en la Ley </w:t>
      </w:r>
      <w:r w:rsidRPr="00B33194">
        <w:rPr>
          <w:rFonts w:ascii="Verdana" w:hAnsi="Verdana"/>
          <w:sz w:val="22"/>
          <w:szCs w:val="22"/>
        </w:rPr>
        <w:t>75</w:t>
      </w:r>
      <w:r w:rsidRPr="0017222D">
        <w:rPr>
          <w:rFonts w:ascii="Verdana" w:hAnsi="Verdana"/>
          <w:sz w:val="22"/>
          <w:szCs w:val="22"/>
        </w:rPr>
        <w:t> de 1968 modificada por la Ley </w:t>
      </w:r>
      <w:r w:rsidRPr="00B33194">
        <w:rPr>
          <w:rFonts w:ascii="Verdana" w:hAnsi="Verdana"/>
          <w:sz w:val="22"/>
          <w:szCs w:val="22"/>
        </w:rPr>
        <w:t>721</w:t>
      </w:r>
      <w:r w:rsidRPr="0017222D">
        <w:rPr>
          <w:rFonts w:ascii="Verdana" w:hAnsi="Verdana"/>
          <w:sz w:val="22"/>
          <w:szCs w:val="22"/>
        </w:rPr>
        <w:t> de 2001, con el fin de definir el estado civil de una persona (art. </w:t>
      </w:r>
      <w:r w:rsidRPr="00B33194">
        <w:rPr>
          <w:rFonts w:ascii="Verdana" w:hAnsi="Verdana"/>
          <w:sz w:val="22"/>
          <w:szCs w:val="22"/>
        </w:rPr>
        <w:t>1</w:t>
      </w:r>
      <w:r w:rsidRPr="0017222D">
        <w:rPr>
          <w:rFonts w:ascii="Verdana" w:hAnsi="Verdana"/>
          <w:sz w:val="22"/>
          <w:szCs w:val="22"/>
        </w:rPr>
        <w:t>o Decreto 1260 de 1970).</w:t>
      </w:r>
    </w:p>
    <w:p w14:paraId="1270F8D9" w14:textId="2B3FF3E4" w:rsidR="0017222D" w:rsidRDefault="0017222D" w:rsidP="0017222D">
      <w:pPr>
        <w:spacing w:line="240" w:lineRule="auto"/>
        <w:jc w:val="both"/>
        <w:rPr>
          <w:rFonts w:ascii="Verdana" w:hAnsi="Verdana"/>
          <w:sz w:val="22"/>
          <w:szCs w:val="22"/>
        </w:rPr>
      </w:pPr>
      <w:r w:rsidRPr="0017222D">
        <w:rPr>
          <w:rFonts w:ascii="Verdana" w:hAnsi="Verdana"/>
          <w:sz w:val="22"/>
          <w:szCs w:val="22"/>
        </w:rPr>
        <w:t>Sin embargo, si lo que se pretende es destruir aquel estado civil que se posee, podrá acudirse a un proceso de impugnación de la paternidad, siempre y cuando se cumplan los presupuestos contenidos en la Ley </w:t>
      </w:r>
      <w:r w:rsidRPr="00B33194">
        <w:rPr>
          <w:rFonts w:ascii="Verdana" w:hAnsi="Verdana"/>
          <w:sz w:val="22"/>
          <w:szCs w:val="22"/>
        </w:rPr>
        <w:t>1060</w:t>
      </w:r>
      <w:r w:rsidRPr="0017222D">
        <w:rPr>
          <w:rFonts w:ascii="Verdana" w:hAnsi="Verdana"/>
          <w:sz w:val="22"/>
          <w:szCs w:val="22"/>
        </w:rPr>
        <w:t> de 2006</w:t>
      </w:r>
      <w:r w:rsidRPr="0017222D">
        <w:rPr>
          <w:rFonts w:ascii="Verdana" w:hAnsi="Verdana"/>
          <w:sz w:val="22"/>
          <w:szCs w:val="22"/>
          <w:vertAlign w:val="subscript"/>
        </w:rPr>
        <w:t>[5]</w:t>
      </w:r>
      <w:r w:rsidRPr="0017222D">
        <w:rPr>
          <w:rFonts w:ascii="Verdana" w:hAnsi="Verdana"/>
          <w:sz w:val="22"/>
          <w:szCs w:val="22"/>
        </w:rPr>
        <w:t> para tal fin.</w:t>
      </w:r>
    </w:p>
    <w:p w14:paraId="5F7D5407" w14:textId="77777777" w:rsidR="00B33194" w:rsidRPr="0017222D" w:rsidRDefault="00B33194" w:rsidP="0017222D">
      <w:pPr>
        <w:spacing w:line="240" w:lineRule="auto"/>
        <w:jc w:val="both"/>
        <w:rPr>
          <w:rFonts w:ascii="Verdana" w:hAnsi="Verdana"/>
          <w:sz w:val="22"/>
          <w:szCs w:val="22"/>
        </w:rPr>
      </w:pPr>
    </w:p>
    <w:p w14:paraId="13075987" w14:textId="77777777" w:rsidR="0017222D" w:rsidRPr="0017222D" w:rsidRDefault="0017222D" w:rsidP="0017222D">
      <w:pPr>
        <w:spacing w:line="240" w:lineRule="auto"/>
        <w:jc w:val="both"/>
        <w:rPr>
          <w:rFonts w:ascii="Verdana" w:hAnsi="Verdana"/>
          <w:sz w:val="22"/>
          <w:szCs w:val="22"/>
        </w:rPr>
      </w:pPr>
      <w:r w:rsidRPr="0017222D">
        <w:rPr>
          <w:rFonts w:ascii="Verdana" w:hAnsi="Verdana"/>
          <w:b/>
          <w:bCs/>
          <w:sz w:val="22"/>
          <w:szCs w:val="22"/>
        </w:rPr>
        <w:lastRenderedPageBreak/>
        <w:t>2.3 La impugnación a la paternidad</w:t>
      </w:r>
    </w:p>
    <w:p w14:paraId="1C024877" w14:textId="78F4823B"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Con la impugnación de la paternidad, lo que se pretende, es hacer desaparecer los efectos de la confesión que condujo al reconocimiento de una persona como su hijo/a, porque ésta no ha podido tenerlo como padre, de conformidad con el numeral 1o del artículo </w:t>
      </w:r>
      <w:r w:rsidRPr="00B33194">
        <w:rPr>
          <w:rFonts w:ascii="Verdana" w:hAnsi="Verdana"/>
          <w:sz w:val="22"/>
          <w:szCs w:val="22"/>
        </w:rPr>
        <w:t>248</w:t>
      </w:r>
      <w:r w:rsidRPr="0017222D">
        <w:rPr>
          <w:rFonts w:ascii="Verdana" w:hAnsi="Verdana"/>
          <w:sz w:val="22"/>
          <w:szCs w:val="22"/>
        </w:rPr>
        <w:t> del Código Civil, que remite el artículo </w:t>
      </w:r>
      <w:r w:rsidRPr="00B33194">
        <w:rPr>
          <w:rFonts w:ascii="Verdana" w:hAnsi="Verdana"/>
          <w:sz w:val="22"/>
          <w:szCs w:val="22"/>
        </w:rPr>
        <w:t>5</w:t>
      </w:r>
      <w:r w:rsidRPr="0017222D">
        <w:rPr>
          <w:rFonts w:ascii="Verdana" w:hAnsi="Verdana"/>
          <w:sz w:val="22"/>
          <w:szCs w:val="22"/>
        </w:rPr>
        <w:t>o de la ley 75 de 1968.</w:t>
      </w:r>
    </w:p>
    <w:p w14:paraId="1EA2CE75" w14:textId="45481BFE"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Ahora bien, el artículo 5o de la ley 68/75 dispone que </w:t>
      </w:r>
      <w:r w:rsidRPr="0017222D">
        <w:rPr>
          <w:rFonts w:ascii="Verdana" w:hAnsi="Verdana"/>
          <w:i/>
          <w:iCs/>
          <w:sz w:val="22"/>
          <w:szCs w:val="22"/>
        </w:rPr>
        <w:t>“el reconocimiento solo podrá ser impugnado por tas personas, en los términos y por las causas indicadas en los artículos </w:t>
      </w:r>
      <w:r w:rsidRPr="00B33194">
        <w:rPr>
          <w:rFonts w:ascii="Verdana" w:hAnsi="Verdana"/>
          <w:i/>
          <w:iCs/>
          <w:sz w:val="22"/>
          <w:szCs w:val="22"/>
        </w:rPr>
        <w:t>248</w:t>
      </w:r>
      <w:r w:rsidRPr="0017222D">
        <w:rPr>
          <w:rFonts w:ascii="Verdana" w:hAnsi="Verdana"/>
          <w:i/>
          <w:iCs/>
          <w:sz w:val="22"/>
          <w:szCs w:val="22"/>
        </w:rPr>
        <w:t> y </w:t>
      </w:r>
      <w:r w:rsidRPr="00B33194">
        <w:rPr>
          <w:rFonts w:ascii="Verdana" w:hAnsi="Verdana"/>
          <w:i/>
          <w:iCs/>
          <w:sz w:val="22"/>
          <w:szCs w:val="22"/>
        </w:rPr>
        <w:t>335</w:t>
      </w:r>
      <w:r w:rsidRPr="0017222D">
        <w:rPr>
          <w:rFonts w:ascii="Verdana" w:hAnsi="Verdana"/>
          <w:i/>
          <w:iCs/>
          <w:sz w:val="22"/>
          <w:szCs w:val="22"/>
        </w:rPr>
        <w:t> del Código Civil”.</w:t>
      </w:r>
    </w:p>
    <w:p w14:paraId="66D70E15" w14:textId="61B8C01D"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En efecto, el mencionado Artículo </w:t>
      </w:r>
      <w:r w:rsidRPr="00B33194">
        <w:rPr>
          <w:rFonts w:ascii="Verdana" w:hAnsi="Verdana"/>
          <w:sz w:val="22"/>
          <w:szCs w:val="22"/>
        </w:rPr>
        <w:t>248</w:t>
      </w:r>
      <w:r w:rsidRPr="0017222D">
        <w:rPr>
          <w:rFonts w:ascii="Verdana" w:hAnsi="Verdana"/>
          <w:sz w:val="22"/>
          <w:szCs w:val="22"/>
        </w:rPr>
        <w:t>, modificado por el artículo </w:t>
      </w:r>
      <w:r w:rsidRPr="00B33194">
        <w:rPr>
          <w:rFonts w:ascii="Verdana" w:hAnsi="Verdana"/>
          <w:sz w:val="22"/>
          <w:szCs w:val="22"/>
        </w:rPr>
        <w:t>11</w:t>
      </w:r>
      <w:r w:rsidRPr="0017222D">
        <w:rPr>
          <w:rFonts w:ascii="Verdana" w:hAnsi="Verdana"/>
          <w:sz w:val="22"/>
          <w:szCs w:val="22"/>
        </w:rPr>
        <w:t> de la Ley 1060 de 2006, determina que:</w:t>
      </w:r>
    </w:p>
    <w:p w14:paraId="63442294"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En los demás casos podrá impugnarse la paternidad probando alguna de las causas siguientes:</w:t>
      </w:r>
    </w:p>
    <w:p w14:paraId="47EF77A2"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1. Que el hijo no ha podido tener por padre al que pasa por tal.</w:t>
      </w:r>
    </w:p>
    <w:p w14:paraId="48CD62F5"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2. Que el hijo no ha tenido por madre a la que pasa por tal, sujetándose esta alegación a lo dispuesto en el título 18 de la maternidad disputada.</w:t>
      </w:r>
    </w:p>
    <w:p w14:paraId="0A5A3A6E"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No serán oídos contra la paternidad sino los que prueben un interés actual en ello, y los ascendientes de quienes se creen con derechos, durante los 140 días desde que tuvieron conocimiento de la paternidad.</w:t>
      </w:r>
    </w:p>
    <w:p w14:paraId="4280573E" w14:textId="77777777"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Ahora bien, los titulares de la legitimación de la impugnación de la paternidad o la maternidad son:</w:t>
      </w:r>
    </w:p>
    <w:p w14:paraId="509FB1BA" w14:textId="393B1FB2"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1. De acuerdo con el artículo </w:t>
      </w:r>
      <w:r w:rsidRPr="00B33194">
        <w:rPr>
          <w:rFonts w:ascii="Verdana" w:hAnsi="Verdana"/>
          <w:sz w:val="22"/>
          <w:szCs w:val="22"/>
        </w:rPr>
        <w:t>4</w:t>
      </w:r>
      <w:r w:rsidRPr="0017222D">
        <w:rPr>
          <w:rFonts w:ascii="Verdana" w:hAnsi="Verdana"/>
          <w:sz w:val="22"/>
          <w:szCs w:val="22"/>
        </w:rPr>
        <w:t>o de la Ley 1060 de 2006, et cónyuge o compañero permanente y la madre, dentro de tos ciento (140) días siguientes a aquel en que tuvieron conocimiento de que no es el padre o madre biológico.</w:t>
      </w:r>
    </w:p>
    <w:p w14:paraId="1971FBFF" w14:textId="160BA8E5"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2. De acuerdo con el artículo </w:t>
      </w:r>
      <w:r w:rsidRPr="00B33194">
        <w:rPr>
          <w:rFonts w:ascii="Verdana" w:hAnsi="Verdana"/>
          <w:sz w:val="22"/>
          <w:szCs w:val="22"/>
        </w:rPr>
        <w:t>5</w:t>
      </w:r>
      <w:r w:rsidRPr="0017222D">
        <w:rPr>
          <w:rFonts w:ascii="Verdana" w:hAnsi="Verdana"/>
          <w:sz w:val="22"/>
          <w:szCs w:val="22"/>
        </w:rPr>
        <w:t>o de la Ley 1060 de 2006, el hijo en cualquier tiempo.</w:t>
      </w:r>
    </w:p>
    <w:p w14:paraId="44DD2DCB" w14:textId="42F1CFD2"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3. De acuerdo con el artículo </w:t>
      </w:r>
      <w:r w:rsidRPr="00B33194">
        <w:rPr>
          <w:rFonts w:ascii="Verdana" w:hAnsi="Verdana"/>
          <w:sz w:val="22"/>
          <w:szCs w:val="22"/>
        </w:rPr>
        <w:t>406</w:t>
      </w:r>
      <w:r w:rsidRPr="0017222D">
        <w:rPr>
          <w:rFonts w:ascii="Verdana" w:hAnsi="Verdana"/>
          <w:sz w:val="22"/>
          <w:szCs w:val="22"/>
        </w:rPr>
        <w:t> del Código Civil Colombiano, el hijo, y quien se presente como verdadero padre o madre del que pasa por hijo de otros, en concordancia con lo establecido por la Corte Constitucional en Sentencia C-</w:t>
      </w:r>
      <w:r w:rsidRPr="00B33194">
        <w:rPr>
          <w:rFonts w:ascii="Verdana" w:hAnsi="Verdana"/>
          <w:sz w:val="22"/>
          <w:szCs w:val="22"/>
        </w:rPr>
        <w:t>109</w:t>
      </w:r>
      <w:r w:rsidRPr="0017222D">
        <w:rPr>
          <w:rFonts w:ascii="Verdana" w:hAnsi="Verdana"/>
          <w:sz w:val="22"/>
          <w:szCs w:val="22"/>
        </w:rPr>
        <w:t> de 1995, y corroborado por la Corte Suprema de Justicia Sala Civil, en su sentencia </w:t>
      </w:r>
      <w:r w:rsidRPr="00B33194">
        <w:rPr>
          <w:rFonts w:ascii="Verdana" w:hAnsi="Verdana"/>
          <w:sz w:val="22"/>
          <w:szCs w:val="22"/>
        </w:rPr>
        <w:t>1100131100142005-00078-01</w:t>
      </w:r>
      <w:r w:rsidRPr="0017222D">
        <w:rPr>
          <w:rFonts w:ascii="Verdana" w:hAnsi="Verdana"/>
          <w:sz w:val="22"/>
          <w:szCs w:val="22"/>
        </w:rPr>
        <w:t> del 24 de abril de 2012.</w:t>
      </w:r>
    </w:p>
    <w:p w14:paraId="74329B83" w14:textId="652D2AE3"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 xml:space="preserve">En relación con la legitimación para impugnar la paternidad o la maternidad, es importante tener en cuenta el estudio realizado en la sentencia de la Corte Suprema de Justicia Sala Civil, </w:t>
      </w:r>
      <w:proofErr w:type="spellStart"/>
      <w:r w:rsidRPr="0017222D">
        <w:rPr>
          <w:rFonts w:ascii="Verdana" w:hAnsi="Verdana"/>
          <w:sz w:val="22"/>
          <w:szCs w:val="22"/>
        </w:rPr>
        <w:t>Exp</w:t>
      </w:r>
      <w:proofErr w:type="spellEnd"/>
      <w:r w:rsidRPr="0017222D">
        <w:rPr>
          <w:rFonts w:ascii="Verdana" w:hAnsi="Verdana"/>
          <w:sz w:val="22"/>
          <w:szCs w:val="22"/>
        </w:rPr>
        <w:t>. </w:t>
      </w:r>
      <w:r w:rsidRPr="00B33194">
        <w:rPr>
          <w:rFonts w:ascii="Verdana" w:hAnsi="Verdana"/>
          <w:sz w:val="22"/>
          <w:szCs w:val="22"/>
        </w:rPr>
        <w:t>1100131100142005-00078-01</w:t>
      </w:r>
      <w:r w:rsidRPr="0017222D">
        <w:rPr>
          <w:rFonts w:ascii="Verdana" w:hAnsi="Verdana"/>
          <w:sz w:val="22"/>
          <w:szCs w:val="22"/>
        </w:rPr>
        <w:t> del 24 de abril de 2012, donde precisó:</w:t>
      </w:r>
    </w:p>
    <w:p w14:paraId="5484D777" w14:textId="77777777"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 </w:t>
      </w:r>
      <w:r w:rsidRPr="0017222D">
        <w:rPr>
          <w:rFonts w:ascii="Verdana" w:hAnsi="Verdana"/>
          <w:i/>
          <w:iCs/>
          <w:sz w:val="22"/>
          <w:szCs w:val="22"/>
        </w:rPr>
        <w:t>"Es indudable que las modificaciones normativas se encaminan a reconocer la realidad social y la forma como ello trasciende en el desarrollo del individuo, con amparo en el derecho a la igualdad ante la ley y sin que la protección de situaciones de indefensión, como las de los menores, den lugar a políticas discriminatorias o de inequidad.</w:t>
      </w:r>
    </w:p>
    <w:p w14:paraId="074AD935" w14:textId="27680EAC"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lastRenderedPageBreak/>
        <w:t>c) Precisamente los principios antes señalados inspiraron la promulgación de la Ley </w:t>
      </w:r>
      <w:r w:rsidRPr="00B33194">
        <w:rPr>
          <w:rFonts w:ascii="Verdana" w:hAnsi="Verdana"/>
          <w:i/>
          <w:iCs/>
          <w:sz w:val="22"/>
          <w:szCs w:val="22"/>
        </w:rPr>
        <w:t>1060</w:t>
      </w:r>
      <w:r w:rsidRPr="0017222D">
        <w:rPr>
          <w:rFonts w:ascii="Verdana" w:hAnsi="Verdana"/>
          <w:i/>
          <w:iCs/>
          <w:sz w:val="22"/>
          <w:szCs w:val="22"/>
        </w:rPr>
        <w:t>, expedida el 26 de julio de 2006, que introdujo cambios en el campo de la impugnación de la paternidad y la maternidad, al reformar los artículos </w:t>
      </w:r>
      <w:r w:rsidRPr="00B33194">
        <w:rPr>
          <w:rFonts w:ascii="Verdana" w:hAnsi="Verdana"/>
          <w:i/>
          <w:iCs/>
          <w:sz w:val="22"/>
          <w:szCs w:val="22"/>
        </w:rPr>
        <w:t>213</w:t>
      </w:r>
      <w:r w:rsidRPr="0017222D">
        <w:rPr>
          <w:rFonts w:ascii="Verdana" w:hAnsi="Verdana"/>
          <w:i/>
          <w:iCs/>
          <w:sz w:val="22"/>
          <w:szCs w:val="22"/>
        </w:rPr>
        <w:t>, </w:t>
      </w:r>
      <w:r w:rsidRPr="00B33194">
        <w:rPr>
          <w:rFonts w:ascii="Verdana" w:hAnsi="Verdana"/>
          <w:i/>
          <w:iCs/>
          <w:sz w:val="22"/>
          <w:szCs w:val="22"/>
        </w:rPr>
        <w:t>214</w:t>
      </w:r>
      <w:r w:rsidRPr="0017222D">
        <w:rPr>
          <w:rFonts w:ascii="Verdana" w:hAnsi="Verdana"/>
          <w:i/>
          <w:iCs/>
          <w:sz w:val="22"/>
          <w:szCs w:val="22"/>
        </w:rPr>
        <w:t>, </w:t>
      </w:r>
      <w:r w:rsidRPr="00B33194">
        <w:rPr>
          <w:rFonts w:ascii="Verdana" w:hAnsi="Verdana"/>
          <w:i/>
          <w:iCs/>
          <w:sz w:val="22"/>
          <w:szCs w:val="22"/>
        </w:rPr>
        <w:t>216</w:t>
      </w:r>
      <w:r w:rsidRPr="0017222D">
        <w:rPr>
          <w:rFonts w:ascii="Verdana" w:hAnsi="Verdana"/>
          <w:i/>
          <w:iCs/>
          <w:sz w:val="22"/>
          <w:szCs w:val="22"/>
        </w:rPr>
        <w:t> a </w:t>
      </w:r>
      <w:r w:rsidRPr="00B33194">
        <w:rPr>
          <w:rFonts w:ascii="Verdana" w:hAnsi="Verdana"/>
          <w:i/>
          <w:iCs/>
          <w:sz w:val="22"/>
          <w:szCs w:val="22"/>
        </w:rPr>
        <w:t>219</w:t>
      </w:r>
      <w:r w:rsidRPr="0017222D">
        <w:rPr>
          <w:rFonts w:ascii="Verdana" w:hAnsi="Verdana"/>
          <w:i/>
          <w:iCs/>
          <w:sz w:val="22"/>
          <w:szCs w:val="22"/>
        </w:rPr>
        <w:t>, </w:t>
      </w:r>
      <w:r w:rsidRPr="00B33194">
        <w:rPr>
          <w:rFonts w:ascii="Verdana" w:hAnsi="Verdana"/>
          <w:sz w:val="22"/>
          <w:szCs w:val="22"/>
        </w:rPr>
        <w:t>222</w:t>
      </w:r>
      <w:r w:rsidRPr="0017222D">
        <w:rPr>
          <w:rFonts w:ascii="Verdana" w:hAnsi="Verdana"/>
          <w:sz w:val="22"/>
          <w:szCs w:val="22"/>
        </w:rPr>
        <w:t> a </w:t>
      </w:r>
      <w:r w:rsidRPr="00B33194">
        <w:rPr>
          <w:rFonts w:ascii="Verdana" w:hAnsi="Verdana"/>
          <w:i/>
          <w:iCs/>
          <w:sz w:val="22"/>
          <w:szCs w:val="22"/>
        </w:rPr>
        <w:t>224</w:t>
      </w:r>
      <w:r w:rsidRPr="0017222D">
        <w:rPr>
          <w:rFonts w:ascii="Verdana" w:hAnsi="Verdana"/>
          <w:i/>
          <w:iCs/>
          <w:sz w:val="22"/>
          <w:szCs w:val="22"/>
        </w:rPr>
        <w:t>, </w:t>
      </w:r>
      <w:r w:rsidRPr="00B33194">
        <w:rPr>
          <w:rFonts w:ascii="Verdana" w:hAnsi="Verdana"/>
          <w:i/>
          <w:iCs/>
          <w:sz w:val="22"/>
          <w:szCs w:val="22"/>
        </w:rPr>
        <w:t>248</w:t>
      </w:r>
      <w:r w:rsidRPr="0017222D">
        <w:rPr>
          <w:rFonts w:ascii="Verdana" w:hAnsi="Verdana"/>
          <w:i/>
          <w:iCs/>
          <w:sz w:val="22"/>
          <w:szCs w:val="22"/>
        </w:rPr>
        <w:t> y </w:t>
      </w:r>
      <w:r w:rsidRPr="00B33194">
        <w:rPr>
          <w:rFonts w:ascii="Verdana" w:hAnsi="Verdana"/>
          <w:i/>
          <w:iCs/>
          <w:sz w:val="22"/>
          <w:szCs w:val="22"/>
        </w:rPr>
        <w:t>337</w:t>
      </w:r>
      <w:r w:rsidRPr="0017222D">
        <w:rPr>
          <w:rFonts w:ascii="Verdana" w:hAnsi="Verdana"/>
          <w:i/>
          <w:iCs/>
          <w:sz w:val="22"/>
          <w:szCs w:val="22"/>
        </w:rPr>
        <w:t> del Código Civil y derogar de manera expresa el </w:t>
      </w:r>
      <w:r w:rsidRPr="00B33194">
        <w:rPr>
          <w:rFonts w:ascii="Verdana" w:hAnsi="Verdana"/>
          <w:i/>
          <w:iCs/>
          <w:sz w:val="22"/>
          <w:szCs w:val="22"/>
        </w:rPr>
        <w:t>215</w:t>
      </w:r>
      <w:r w:rsidRPr="0017222D">
        <w:rPr>
          <w:rFonts w:ascii="Verdana" w:hAnsi="Verdana"/>
          <w:i/>
          <w:iCs/>
          <w:sz w:val="22"/>
          <w:szCs w:val="22"/>
        </w:rPr>
        <w:t>, </w:t>
      </w:r>
      <w:r w:rsidRPr="00B33194">
        <w:rPr>
          <w:rFonts w:ascii="Verdana" w:hAnsi="Verdana"/>
          <w:i/>
          <w:iCs/>
          <w:sz w:val="22"/>
          <w:szCs w:val="22"/>
        </w:rPr>
        <w:t>221</w:t>
      </w:r>
      <w:r w:rsidRPr="0017222D">
        <w:rPr>
          <w:rFonts w:ascii="Verdana" w:hAnsi="Verdana"/>
          <w:i/>
          <w:iCs/>
          <w:sz w:val="22"/>
          <w:szCs w:val="22"/>
        </w:rPr>
        <w:t> y </w:t>
      </w:r>
      <w:r w:rsidRPr="00B33194">
        <w:rPr>
          <w:rFonts w:ascii="Verdana" w:hAnsi="Verdana"/>
          <w:i/>
          <w:iCs/>
          <w:sz w:val="22"/>
          <w:szCs w:val="22"/>
        </w:rPr>
        <w:t>336</w:t>
      </w:r>
      <w:r w:rsidRPr="0017222D">
        <w:rPr>
          <w:rFonts w:ascii="Verdana" w:hAnsi="Verdana"/>
          <w:i/>
          <w:iCs/>
          <w:sz w:val="22"/>
          <w:szCs w:val="22"/>
        </w:rPr>
        <w:t> </w:t>
      </w:r>
      <w:proofErr w:type="spellStart"/>
      <w:r w:rsidRPr="0017222D">
        <w:rPr>
          <w:rFonts w:ascii="Verdana" w:hAnsi="Verdana"/>
          <w:i/>
          <w:iCs/>
          <w:sz w:val="22"/>
          <w:szCs w:val="22"/>
        </w:rPr>
        <w:t>ibídem</w:t>
      </w:r>
      <w:proofErr w:type="spellEnd"/>
      <w:r w:rsidRPr="0017222D">
        <w:rPr>
          <w:rFonts w:ascii="Verdana" w:hAnsi="Verdana"/>
          <w:i/>
          <w:iCs/>
          <w:sz w:val="22"/>
          <w:szCs w:val="22"/>
        </w:rPr>
        <w:t>, así como el </w:t>
      </w:r>
      <w:r w:rsidRPr="00B33194">
        <w:rPr>
          <w:rFonts w:ascii="Verdana" w:hAnsi="Verdana"/>
          <w:i/>
          <w:iCs/>
          <w:sz w:val="22"/>
          <w:szCs w:val="22"/>
        </w:rPr>
        <w:t>5</w:t>
      </w:r>
      <w:r w:rsidRPr="0017222D">
        <w:rPr>
          <w:rFonts w:ascii="Verdana" w:hAnsi="Verdana"/>
          <w:i/>
          <w:iCs/>
          <w:sz w:val="22"/>
          <w:szCs w:val="22"/>
        </w:rPr>
        <w:t>o y </w:t>
      </w:r>
      <w:r w:rsidRPr="00B33194">
        <w:rPr>
          <w:rFonts w:ascii="Verdana" w:hAnsi="Verdana"/>
          <w:i/>
          <w:iCs/>
          <w:sz w:val="22"/>
          <w:szCs w:val="22"/>
        </w:rPr>
        <w:t>6</w:t>
      </w:r>
      <w:r w:rsidRPr="0017222D">
        <w:rPr>
          <w:rFonts w:ascii="Verdana" w:hAnsi="Verdana"/>
          <w:i/>
          <w:iCs/>
          <w:sz w:val="22"/>
          <w:szCs w:val="22"/>
        </w:rPr>
        <w:t>o de la Ley 95 de 1890, y </w:t>
      </w:r>
      <w:r w:rsidRPr="00B33194">
        <w:rPr>
          <w:rFonts w:ascii="Verdana" w:hAnsi="Verdana"/>
          <w:i/>
          <w:iCs/>
          <w:sz w:val="22"/>
          <w:szCs w:val="22"/>
        </w:rPr>
        <w:t>3</w:t>
      </w:r>
      <w:r w:rsidRPr="0017222D">
        <w:rPr>
          <w:rFonts w:ascii="Verdana" w:hAnsi="Verdana"/>
          <w:i/>
          <w:iCs/>
          <w:sz w:val="22"/>
          <w:szCs w:val="22"/>
        </w:rPr>
        <w:t>o de la Ley 75 de 1968, los que tienen incidencia en este asunto, como pasa a destacarse a continuación:</w:t>
      </w:r>
    </w:p>
    <w:p w14:paraId="5D7B8C16" w14:textId="1110BCAA"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(i) Los artículos </w:t>
      </w:r>
      <w:r w:rsidRPr="00B33194">
        <w:rPr>
          <w:rFonts w:ascii="Verdana" w:hAnsi="Verdana"/>
          <w:i/>
          <w:iCs/>
          <w:sz w:val="22"/>
          <w:szCs w:val="22"/>
        </w:rPr>
        <w:t>1</w:t>
      </w:r>
      <w:r w:rsidRPr="0017222D">
        <w:rPr>
          <w:rFonts w:ascii="Verdana" w:hAnsi="Verdana"/>
          <w:i/>
          <w:iCs/>
          <w:sz w:val="22"/>
          <w:szCs w:val="22"/>
        </w:rPr>
        <w:t>o y </w:t>
      </w:r>
      <w:r w:rsidRPr="00B33194">
        <w:rPr>
          <w:rFonts w:ascii="Verdana" w:hAnsi="Verdana"/>
          <w:i/>
          <w:iCs/>
          <w:sz w:val="22"/>
          <w:szCs w:val="22"/>
        </w:rPr>
        <w:t>2</w:t>
      </w:r>
      <w:r w:rsidRPr="0017222D">
        <w:rPr>
          <w:rFonts w:ascii="Verdana" w:hAnsi="Verdana"/>
          <w:i/>
          <w:iCs/>
          <w:sz w:val="22"/>
          <w:szCs w:val="22"/>
        </w:rPr>
        <w:t>o, que introducen cambios al </w:t>
      </w:r>
      <w:r w:rsidRPr="00B33194">
        <w:rPr>
          <w:rFonts w:ascii="Verdana" w:hAnsi="Verdana"/>
          <w:i/>
          <w:iCs/>
          <w:sz w:val="22"/>
          <w:szCs w:val="22"/>
        </w:rPr>
        <w:t>213</w:t>
      </w:r>
      <w:r w:rsidRPr="0017222D">
        <w:rPr>
          <w:rFonts w:ascii="Verdana" w:hAnsi="Verdana"/>
          <w:i/>
          <w:iCs/>
          <w:sz w:val="22"/>
          <w:szCs w:val="22"/>
        </w:rPr>
        <w:t> y </w:t>
      </w:r>
      <w:r w:rsidRPr="00B33194">
        <w:rPr>
          <w:rFonts w:ascii="Verdana" w:hAnsi="Verdana"/>
          <w:i/>
          <w:iCs/>
          <w:sz w:val="22"/>
          <w:szCs w:val="22"/>
        </w:rPr>
        <w:t>214</w:t>
      </w:r>
      <w:r w:rsidRPr="0017222D">
        <w:rPr>
          <w:rFonts w:ascii="Verdana" w:hAnsi="Verdana"/>
          <w:i/>
          <w:iCs/>
          <w:sz w:val="22"/>
          <w:szCs w:val="22"/>
        </w:rPr>
        <w:t> del Código Civil, sustituyen la “presunción de legitimidad" por una más genérica "presunción de paternidad" dando cabida a tener como hijos de la relación a los nacidos durante el matrimonio o la unión marital de hecho, lo que se puede desvirtuar en “un proceso de investigación o de impugnación de paternidad”.</w:t>
      </w:r>
    </w:p>
    <w:p w14:paraId="67BA0CEB" w14:textId="4B8E20C8"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w:t>
      </w:r>
      <w:proofErr w:type="spellStart"/>
      <w:r w:rsidRPr="0017222D">
        <w:rPr>
          <w:rFonts w:ascii="Verdana" w:hAnsi="Verdana"/>
          <w:i/>
          <w:iCs/>
          <w:sz w:val="22"/>
          <w:szCs w:val="22"/>
        </w:rPr>
        <w:t>ii</w:t>
      </w:r>
      <w:proofErr w:type="spellEnd"/>
      <w:r w:rsidRPr="0017222D">
        <w:rPr>
          <w:rFonts w:ascii="Verdana" w:hAnsi="Verdana"/>
          <w:i/>
          <w:iCs/>
          <w:sz w:val="22"/>
          <w:szCs w:val="22"/>
        </w:rPr>
        <w:t>) Con el artículo </w:t>
      </w:r>
      <w:r w:rsidRPr="00B33194">
        <w:rPr>
          <w:rFonts w:ascii="Verdana" w:hAnsi="Verdana"/>
          <w:i/>
          <w:iCs/>
          <w:sz w:val="22"/>
          <w:szCs w:val="22"/>
        </w:rPr>
        <w:t>4</w:t>
      </w:r>
      <w:r w:rsidRPr="0017222D">
        <w:rPr>
          <w:rFonts w:ascii="Verdana" w:hAnsi="Verdana"/>
          <w:i/>
          <w:iCs/>
          <w:sz w:val="22"/>
          <w:szCs w:val="22"/>
        </w:rPr>
        <w:t>o se elimina le restricción de impugnar solo por parte del marido que contemplaba el </w:t>
      </w:r>
      <w:r w:rsidRPr="00B33194">
        <w:rPr>
          <w:rFonts w:ascii="Verdana" w:hAnsi="Verdana"/>
          <w:i/>
          <w:iCs/>
          <w:sz w:val="22"/>
          <w:szCs w:val="22"/>
        </w:rPr>
        <w:t>216</w:t>
      </w:r>
      <w:r w:rsidRPr="0017222D">
        <w:rPr>
          <w:rFonts w:ascii="Verdana" w:hAnsi="Verdana"/>
          <w:i/>
          <w:iCs/>
          <w:sz w:val="22"/>
          <w:szCs w:val="22"/>
        </w:rPr>
        <w:t> </w:t>
      </w:r>
      <w:proofErr w:type="spellStart"/>
      <w:r w:rsidRPr="0017222D">
        <w:rPr>
          <w:rFonts w:ascii="Verdana" w:hAnsi="Verdana"/>
          <w:i/>
          <w:iCs/>
          <w:sz w:val="22"/>
          <w:szCs w:val="22"/>
        </w:rPr>
        <w:t>ibídem</w:t>
      </w:r>
      <w:proofErr w:type="spellEnd"/>
      <w:r w:rsidRPr="0017222D">
        <w:rPr>
          <w:rFonts w:ascii="Verdana" w:hAnsi="Verdana"/>
          <w:i/>
          <w:iCs/>
          <w:sz w:val="22"/>
          <w:szCs w:val="22"/>
        </w:rPr>
        <w:t>, para enunciar sin carácter limitativo que lo podrán hacer “el cónyuge o compañero permanente y la madre, dentro de los ciento (140) días siguientes a aquel en que tuvieron conocimiento de que no es el padre o madre biológico".</w:t>
      </w:r>
    </w:p>
    <w:p w14:paraId="678E86E9" w14:textId="32345E42"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w:t>
      </w:r>
      <w:proofErr w:type="spellStart"/>
      <w:r w:rsidRPr="0017222D">
        <w:rPr>
          <w:rFonts w:ascii="Verdana" w:hAnsi="Verdana"/>
          <w:i/>
          <w:iCs/>
          <w:sz w:val="22"/>
          <w:szCs w:val="22"/>
        </w:rPr>
        <w:t>iii</w:t>
      </w:r>
      <w:proofErr w:type="spellEnd"/>
      <w:r w:rsidRPr="0017222D">
        <w:rPr>
          <w:rFonts w:ascii="Verdana" w:hAnsi="Verdana"/>
          <w:i/>
          <w:iCs/>
          <w:sz w:val="22"/>
          <w:szCs w:val="22"/>
        </w:rPr>
        <w:t>) El artículo </w:t>
      </w:r>
      <w:r w:rsidRPr="00B33194">
        <w:rPr>
          <w:rFonts w:ascii="Verdana" w:hAnsi="Verdana"/>
          <w:i/>
          <w:iCs/>
          <w:sz w:val="22"/>
          <w:szCs w:val="22"/>
        </w:rPr>
        <w:t>5</w:t>
      </w:r>
      <w:r w:rsidRPr="0017222D">
        <w:rPr>
          <w:rFonts w:ascii="Verdana" w:hAnsi="Verdana"/>
          <w:i/>
          <w:iCs/>
          <w:sz w:val="22"/>
          <w:szCs w:val="22"/>
        </w:rPr>
        <w:t>o modifica</w:t>
      </w:r>
      <w:r w:rsidRPr="0017222D">
        <w:rPr>
          <w:rFonts w:ascii="Verdana" w:hAnsi="Verdana"/>
          <w:sz w:val="22"/>
          <w:szCs w:val="22"/>
        </w:rPr>
        <w:t> a </w:t>
      </w:r>
      <w:r w:rsidRPr="0017222D">
        <w:rPr>
          <w:rFonts w:ascii="Verdana" w:hAnsi="Verdana"/>
          <w:i/>
          <w:iCs/>
          <w:sz w:val="22"/>
          <w:szCs w:val="22"/>
        </w:rPr>
        <w:t>su vez el </w:t>
      </w:r>
      <w:r w:rsidRPr="00B33194">
        <w:rPr>
          <w:rFonts w:ascii="Verdana" w:hAnsi="Verdana"/>
          <w:i/>
          <w:iCs/>
          <w:sz w:val="22"/>
          <w:szCs w:val="22"/>
        </w:rPr>
        <w:t>217</w:t>
      </w:r>
      <w:r w:rsidRPr="0017222D">
        <w:rPr>
          <w:rFonts w:ascii="Verdana" w:hAnsi="Verdana"/>
          <w:i/>
          <w:iCs/>
          <w:sz w:val="22"/>
          <w:szCs w:val="22"/>
        </w:rPr>
        <w:t> contemplando </w:t>
      </w:r>
      <w:r w:rsidRPr="0017222D">
        <w:rPr>
          <w:rFonts w:ascii="Verdana" w:hAnsi="Verdana"/>
          <w:b/>
          <w:bCs/>
          <w:i/>
          <w:iCs/>
          <w:sz w:val="22"/>
          <w:szCs w:val="22"/>
        </w:rPr>
        <w:t>la facultad del hijo</w:t>
      </w:r>
      <w:r w:rsidRPr="0017222D">
        <w:rPr>
          <w:rFonts w:ascii="Verdana" w:hAnsi="Verdana"/>
          <w:sz w:val="22"/>
          <w:szCs w:val="22"/>
        </w:rPr>
        <w:t> </w:t>
      </w:r>
      <w:r w:rsidRPr="0017222D">
        <w:rPr>
          <w:rFonts w:ascii="Verdana" w:hAnsi="Verdana"/>
          <w:i/>
          <w:iCs/>
          <w:sz w:val="22"/>
          <w:szCs w:val="22"/>
        </w:rPr>
        <w:t>de</w:t>
      </w:r>
      <w:r w:rsidRPr="0017222D">
        <w:rPr>
          <w:rFonts w:ascii="Verdana" w:hAnsi="Verdana"/>
          <w:b/>
          <w:bCs/>
          <w:sz w:val="22"/>
          <w:szCs w:val="22"/>
        </w:rPr>
        <w:t> </w:t>
      </w:r>
      <w:r w:rsidRPr="0017222D">
        <w:rPr>
          <w:rFonts w:ascii="Verdana" w:hAnsi="Verdana"/>
          <w:b/>
          <w:bCs/>
          <w:i/>
          <w:iCs/>
          <w:sz w:val="22"/>
          <w:szCs w:val="22"/>
        </w:rPr>
        <w:t>impugnar en cualquier tiempo,</w:t>
      </w:r>
      <w:r w:rsidRPr="0017222D">
        <w:rPr>
          <w:rFonts w:ascii="Verdana" w:hAnsi="Verdana"/>
          <w:i/>
          <w:iCs/>
          <w:sz w:val="22"/>
          <w:szCs w:val="22"/>
        </w:rPr>
        <w:t> la utilización de pruebas científicas y la intervención de</w:t>
      </w:r>
      <w:r w:rsidRPr="0017222D">
        <w:rPr>
          <w:rFonts w:ascii="Verdana" w:hAnsi="Verdana"/>
          <w:sz w:val="22"/>
          <w:szCs w:val="22"/>
        </w:rPr>
        <w:t> </w:t>
      </w:r>
      <w:r w:rsidRPr="0017222D">
        <w:rPr>
          <w:rFonts w:ascii="Verdana" w:hAnsi="Verdana"/>
          <w:i/>
          <w:iCs/>
          <w:sz w:val="22"/>
          <w:szCs w:val="22"/>
        </w:rPr>
        <w:t>"quien acredite sumariamente ser el presunto padre o madre biológico”.</w:t>
      </w:r>
      <w:r w:rsidRPr="0017222D">
        <w:rPr>
          <w:rFonts w:ascii="Verdana" w:hAnsi="Verdana"/>
          <w:sz w:val="22"/>
          <w:szCs w:val="22"/>
        </w:rPr>
        <w:t> (Resaltado fuera de texto)</w:t>
      </w:r>
    </w:p>
    <w:p w14:paraId="61DA75EE" w14:textId="31233915"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w:t>
      </w:r>
      <w:proofErr w:type="spellStart"/>
      <w:r w:rsidRPr="0017222D">
        <w:rPr>
          <w:rFonts w:ascii="Verdana" w:hAnsi="Verdana"/>
          <w:i/>
          <w:iCs/>
          <w:sz w:val="22"/>
          <w:szCs w:val="22"/>
        </w:rPr>
        <w:t>iv</w:t>
      </w:r>
      <w:proofErr w:type="spellEnd"/>
      <w:r w:rsidRPr="0017222D">
        <w:rPr>
          <w:rFonts w:ascii="Verdana" w:hAnsi="Verdana"/>
          <w:i/>
          <w:iCs/>
          <w:sz w:val="22"/>
          <w:szCs w:val="22"/>
        </w:rPr>
        <w:t>) La reforma al canon </w:t>
      </w:r>
      <w:r w:rsidRPr="00B33194">
        <w:rPr>
          <w:rFonts w:ascii="Verdana" w:hAnsi="Verdana"/>
          <w:i/>
          <w:iCs/>
          <w:sz w:val="22"/>
          <w:szCs w:val="22"/>
        </w:rPr>
        <w:t>218</w:t>
      </w:r>
      <w:r w:rsidRPr="0017222D">
        <w:rPr>
          <w:rFonts w:ascii="Verdana" w:hAnsi="Verdana"/>
          <w:i/>
          <w:iCs/>
          <w:sz w:val="22"/>
          <w:szCs w:val="22"/>
        </w:rPr>
        <w:t>, según el </w:t>
      </w:r>
      <w:r w:rsidRPr="00B33194">
        <w:rPr>
          <w:rFonts w:ascii="Verdana" w:hAnsi="Verdana"/>
          <w:i/>
          <w:iCs/>
          <w:sz w:val="22"/>
          <w:szCs w:val="22"/>
        </w:rPr>
        <w:t>6</w:t>
      </w:r>
      <w:r w:rsidRPr="0017222D">
        <w:rPr>
          <w:rFonts w:ascii="Verdana" w:hAnsi="Verdana"/>
          <w:i/>
          <w:iCs/>
          <w:sz w:val="22"/>
          <w:szCs w:val="22"/>
        </w:rPr>
        <w:t>o de la Ley, señala de manera expresa el deber de vincular “al proceso, siempre que fuere posible, al presunto padre biológico o la presunta madre biológica, con el fin de ser declarado en la misma actuación</w:t>
      </w:r>
      <w:r w:rsidRPr="0017222D">
        <w:rPr>
          <w:rFonts w:ascii="Verdana" w:hAnsi="Verdana"/>
          <w:sz w:val="22"/>
          <w:szCs w:val="22"/>
        </w:rPr>
        <w:t> </w:t>
      </w:r>
      <w:r w:rsidRPr="0017222D">
        <w:rPr>
          <w:rFonts w:ascii="Verdana" w:hAnsi="Verdana"/>
          <w:i/>
          <w:iCs/>
          <w:sz w:val="22"/>
          <w:szCs w:val="22"/>
        </w:rPr>
        <w:t>procesal</w:t>
      </w:r>
      <w:r w:rsidRPr="0017222D">
        <w:rPr>
          <w:rFonts w:ascii="Verdana" w:hAnsi="Verdana"/>
          <w:sz w:val="22"/>
          <w:szCs w:val="22"/>
        </w:rPr>
        <w:t> </w:t>
      </w:r>
      <w:r w:rsidRPr="0017222D">
        <w:rPr>
          <w:rFonts w:ascii="Verdana" w:hAnsi="Verdana"/>
          <w:i/>
          <w:iCs/>
          <w:sz w:val="22"/>
          <w:szCs w:val="22"/>
        </w:rPr>
        <w:t>la paternidad o la maternidad, en aras de proteger los derechos del menor, en especial el de tener una verdadera identidad y un nombre".</w:t>
      </w:r>
    </w:p>
    <w:p w14:paraId="14EB0AC6"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Los principales cambios que se observan tienen que ver con la pérdida de connotación de legitimidad derivada del vínculo, matrimonial, para extender la presunción de paternidad a los hijos concebidos durante</w:t>
      </w:r>
      <w:r w:rsidRPr="0017222D">
        <w:rPr>
          <w:rFonts w:ascii="Verdana" w:hAnsi="Verdana"/>
          <w:sz w:val="22"/>
          <w:szCs w:val="22"/>
        </w:rPr>
        <w:t>; </w:t>
      </w:r>
      <w:r w:rsidRPr="0017222D">
        <w:rPr>
          <w:rFonts w:ascii="Verdana" w:hAnsi="Verdana"/>
          <w:i/>
          <w:iCs/>
          <w:sz w:val="22"/>
          <w:szCs w:val="22"/>
        </w:rPr>
        <w:t>la existencia de unión marital de hecho, situación que justifica el que también se confiriera la posibilidad de reclamar contra la misma, fuera del "cónyuge” y el "hijo</w:t>
      </w:r>
      <w:r w:rsidRPr="0017222D">
        <w:rPr>
          <w:rFonts w:ascii="Verdana" w:hAnsi="Verdana"/>
          <w:sz w:val="22"/>
          <w:szCs w:val="22"/>
        </w:rPr>
        <w:t>”, </w:t>
      </w:r>
      <w:r w:rsidRPr="0017222D">
        <w:rPr>
          <w:rFonts w:ascii="Verdana" w:hAnsi="Verdana"/>
          <w:i/>
          <w:iCs/>
          <w:sz w:val="22"/>
          <w:szCs w:val="22"/>
        </w:rPr>
        <w:t>al compañero permanente y la madre, además de la participación del “supuesto padre biológico” dentro de un trámite en el cual puede intervenir activamente en la solicitud y objeción de la prueba técnica, lo que le permite, sin duda alguna, ejercerlos mecanismos de defensa contemplados para las partes.</w:t>
      </w:r>
    </w:p>
    <w:p w14:paraId="18090335" w14:textId="216E6DB0"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(d) Es importante tener en cuenta que dentro del trámite surtido por la Ley </w:t>
      </w:r>
      <w:r w:rsidRPr="00B33194">
        <w:rPr>
          <w:rFonts w:ascii="Verdana" w:hAnsi="Verdana"/>
          <w:i/>
          <w:iCs/>
          <w:sz w:val="22"/>
          <w:szCs w:val="22"/>
        </w:rPr>
        <w:t>1060</w:t>
      </w:r>
      <w:r w:rsidRPr="0017222D">
        <w:rPr>
          <w:rFonts w:ascii="Verdana" w:hAnsi="Verdana"/>
          <w:i/>
          <w:iCs/>
          <w:sz w:val="22"/>
          <w:szCs w:val="22"/>
        </w:rPr>
        <w:t> de 2006 en el Congreso, se contempló la posibilidad de que en el articulado quedaran de manera expresa como legitimados para impugnar la paternidad los "presuntos padres biológicos” en aras de la defensa de los derechos del menor y en aplicación del principio de la economía procesal.</w:t>
      </w:r>
    </w:p>
    <w:p w14:paraId="2CCCC15A" w14:textId="77777777"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 (e) </w:t>
      </w:r>
      <w:r w:rsidRPr="0017222D">
        <w:rPr>
          <w:rFonts w:ascii="Verdana" w:hAnsi="Verdana"/>
          <w:i/>
          <w:iCs/>
          <w:sz w:val="22"/>
          <w:szCs w:val="22"/>
        </w:rPr>
        <w:t>Quiere decir lo anterior que en ningún momento se contempló una intervención restringida del</w:t>
      </w:r>
      <w:r w:rsidRPr="0017222D">
        <w:rPr>
          <w:rFonts w:ascii="Verdana" w:hAnsi="Verdana"/>
          <w:sz w:val="22"/>
          <w:szCs w:val="22"/>
        </w:rPr>
        <w:t> </w:t>
      </w:r>
      <w:r w:rsidRPr="0017222D">
        <w:rPr>
          <w:rFonts w:ascii="Verdana" w:hAnsi="Verdana"/>
          <w:i/>
          <w:iCs/>
          <w:sz w:val="22"/>
          <w:szCs w:val="22"/>
        </w:rPr>
        <w:t>“padre</w:t>
      </w:r>
      <w:r w:rsidRPr="0017222D">
        <w:rPr>
          <w:rFonts w:ascii="Verdana" w:hAnsi="Verdana"/>
          <w:sz w:val="22"/>
          <w:szCs w:val="22"/>
        </w:rPr>
        <w:t> o </w:t>
      </w:r>
      <w:r w:rsidRPr="0017222D">
        <w:rPr>
          <w:rFonts w:ascii="Verdana" w:hAnsi="Verdana"/>
          <w:i/>
          <w:iCs/>
          <w:sz w:val="22"/>
          <w:szCs w:val="22"/>
        </w:rPr>
        <w:t>madre biológicos” dentro del proceso de impugnación, corno si se tratara de unos convidados de piedra</w:t>
      </w:r>
      <w:r w:rsidRPr="0017222D">
        <w:rPr>
          <w:rFonts w:ascii="Verdana" w:hAnsi="Verdana"/>
          <w:sz w:val="22"/>
          <w:szCs w:val="22"/>
        </w:rPr>
        <w:t> o </w:t>
      </w:r>
      <w:r w:rsidRPr="0017222D">
        <w:rPr>
          <w:rFonts w:ascii="Verdana" w:hAnsi="Verdana"/>
          <w:i/>
          <w:iCs/>
          <w:sz w:val="22"/>
          <w:szCs w:val="22"/>
        </w:rPr>
        <w:t xml:space="preserve">sujetos pasivos </w:t>
      </w:r>
      <w:r w:rsidRPr="0017222D">
        <w:rPr>
          <w:rFonts w:ascii="Verdana" w:hAnsi="Verdana"/>
          <w:i/>
          <w:iCs/>
          <w:sz w:val="22"/>
          <w:szCs w:val="22"/>
        </w:rPr>
        <w:lastRenderedPageBreak/>
        <w:t>meramente destinatarios de la acusación activa del respectivo estado civil consolidado, a cargo de las personas expresamente autorizadas para hacerlo.</w:t>
      </w:r>
    </w:p>
    <w:p w14:paraId="46225CE8"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 xml:space="preserve">Desde su génesis se les consideró como una parte más dentro de la litis, con la posibilidad de actuar como demandantes a fin de desvirtuar la presunción de paternidad o maternidad que les impedía reconocer al hijo, así como con una </w:t>
      </w:r>
      <w:proofErr w:type="gramStart"/>
      <w:r w:rsidRPr="0017222D">
        <w:rPr>
          <w:rFonts w:ascii="Verdana" w:hAnsi="Verdana"/>
          <w:i/>
          <w:iCs/>
          <w:sz w:val="22"/>
          <w:szCs w:val="22"/>
        </w:rPr>
        <w:t>participación activa</w:t>
      </w:r>
      <w:proofErr w:type="gramEnd"/>
      <w:r w:rsidRPr="0017222D">
        <w:rPr>
          <w:rFonts w:ascii="Verdana" w:hAnsi="Verdana"/>
          <w:i/>
          <w:iCs/>
          <w:sz w:val="22"/>
          <w:szCs w:val="22"/>
        </w:rPr>
        <w:t xml:space="preserve"> en caso de que llegaran</w:t>
      </w:r>
      <w:r w:rsidRPr="0017222D">
        <w:rPr>
          <w:rFonts w:ascii="Verdana" w:hAnsi="Verdana"/>
          <w:sz w:val="22"/>
          <w:szCs w:val="22"/>
        </w:rPr>
        <w:t> a </w:t>
      </w:r>
      <w:r w:rsidRPr="0017222D">
        <w:rPr>
          <w:rFonts w:ascii="Verdana" w:hAnsi="Verdana"/>
          <w:i/>
          <w:iCs/>
          <w:sz w:val="22"/>
          <w:szCs w:val="22"/>
        </w:rPr>
        <w:t>ser vinculados, en aquellos procesos en que iniciada la impugnación</w:t>
      </w:r>
      <w:r w:rsidRPr="0017222D">
        <w:rPr>
          <w:rFonts w:ascii="Verdana" w:hAnsi="Verdana"/>
          <w:sz w:val="22"/>
          <w:szCs w:val="22"/>
        </w:rPr>
        <w:t> se </w:t>
      </w:r>
      <w:r w:rsidRPr="0017222D">
        <w:rPr>
          <w:rFonts w:ascii="Verdana" w:hAnsi="Verdana"/>
          <w:i/>
          <w:iCs/>
          <w:sz w:val="22"/>
          <w:szCs w:val="22"/>
        </w:rPr>
        <w:t>pretendiera establecer de manera simultánea la verdadera filiación de aquel.</w:t>
      </w:r>
    </w:p>
    <w:p w14:paraId="2F530780" w14:textId="000E2979"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Adicionalmente, lo que en últimas motivó su exclusión dentro del texto que reemplazó el artículo </w:t>
      </w:r>
      <w:r w:rsidRPr="00B33194">
        <w:rPr>
          <w:rFonts w:ascii="Verdana" w:hAnsi="Verdana"/>
          <w:i/>
          <w:iCs/>
          <w:sz w:val="22"/>
          <w:szCs w:val="22"/>
        </w:rPr>
        <w:t>216</w:t>
      </w:r>
      <w:r w:rsidRPr="0017222D">
        <w:rPr>
          <w:rFonts w:ascii="Verdana" w:hAnsi="Verdana"/>
          <w:i/>
          <w:iCs/>
          <w:sz w:val="22"/>
          <w:szCs w:val="22"/>
        </w:rPr>
        <w:t> y que según el cambió al </w:t>
      </w:r>
      <w:r w:rsidRPr="00B33194">
        <w:rPr>
          <w:rFonts w:ascii="Verdana" w:hAnsi="Verdana"/>
          <w:i/>
          <w:iCs/>
          <w:sz w:val="22"/>
          <w:szCs w:val="22"/>
        </w:rPr>
        <w:t>217</w:t>
      </w:r>
      <w:r w:rsidRPr="0017222D">
        <w:rPr>
          <w:rFonts w:ascii="Verdana" w:hAnsi="Verdana"/>
          <w:i/>
          <w:iCs/>
          <w:sz w:val="22"/>
          <w:szCs w:val="22"/>
        </w:rPr>
        <w:t> puedan intervenir en la práctica de las pruebas científicas, no tiene una justificación diferente a la consideración de que</w:t>
      </w:r>
      <w:r w:rsidRPr="0017222D">
        <w:rPr>
          <w:rFonts w:ascii="Verdana" w:hAnsi="Verdana"/>
          <w:sz w:val="22"/>
          <w:szCs w:val="22"/>
        </w:rPr>
        <w:t> </w:t>
      </w:r>
      <w:r w:rsidRPr="0017222D">
        <w:rPr>
          <w:rFonts w:ascii="Verdana" w:hAnsi="Verdana"/>
          <w:i/>
          <w:iCs/>
          <w:sz w:val="22"/>
          <w:szCs w:val="22"/>
        </w:rPr>
        <w:t>"los padres biológicos” cuentan con una facultad expresa para pretender la impugnación de la paternidad, en acumulación al reconocimiento, en los términos del artículo </w:t>
      </w:r>
      <w:r w:rsidRPr="00B33194">
        <w:rPr>
          <w:rFonts w:ascii="Verdana" w:hAnsi="Verdana"/>
          <w:i/>
          <w:iCs/>
          <w:sz w:val="22"/>
          <w:szCs w:val="22"/>
        </w:rPr>
        <w:t>406</w:t>
      </w:r>
      <w:r w:rsidRPr="0017222D">
        <w:rPr>
          <w:rFonts w:ascii="Verdana" w:hAnsi="Verdana"/>
          <w:i/>
          <w:iCs/>
          <w:sz w:val="22"/>
          <w:szCs w:val="22"/>
        </w:rPr>
        <w:t> del Código Civil que consagra la acción de reclamación del estado civil en cabeza tanto del hijo como de “quien se presente como verdadero padre o madre del que pasa por hijo de otros”.</w:t>
      </w:r>
    </w:p>
    <w:p w14:paraId="1F537D76" w14:textId="69A1C01A"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En ese entendido, no queda asomo de duda a que la Ley </w:t>
      </w:r>
      <w:r w:rsidRPr="00B33194">
        <w:rPr>
          <w:rFonts w:ascii="Verdana" w:hAnsi="Verdana"/>
          <w:i/>
          <w:iCs/>
          <w:sz w:val="22"/>
          <w:szCs w:val="22"/>
        </w:rPr>
        <w:t>1060</w:t>
      </w:r>
      <w:r w:rsidRPr="0017222D">
        <w:rPr>
          <w:rFonts w:ascii="Verdana" w:hAnsi="Verdana"/>
          <w:i/>
          <w:iCs/>
          <w:sz w:val="22"/>
          <w:szCs w:val="22"/>
        </w:rPr>
        <w:t> de 2006 eliminó los escollos que inhibían que el padre biológico pudiera promover la acción de impugnación de paternidad, toda vez que, ciertamente, le asiste un interés propio y autónomo, siempre y cuando esté plenamente establecida su calidad, ya que de no ser así carecería de legitimación para hacerlo</w:t>
      </w:r>
      <w:r w:rsidRPr="0017222D">
        <w:rPr>
          <w:rFonts w:ascii="Verdana" w:hAnsi="Verdana"/>
          <w:sz w:val="22"/>
          <w:szCs w:val="22"/>
        </w:rPr>
        <w:t>.</w:t>
      </w:r>
    </w:p>
    <w:p w14:paraId="6100E80A" w14:textId="77777777"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Por otra parte, el legislador ha regulado el tema del estado civil y de la familia, con el fin de proteger la propia intimidad que rodea su constitución y de atender a las realidades con respecto a los hijos, y no permitiendo que cualquier persona pueda acudir a los estrados judiciales para cuestionar una paternidad o maternidad, igualmente, ha establecido prohibiciones específicas para que, consumados ciertos hechos o vencidos determinados plazos, la situación jurídica se tome inexpugnable, y por consiguiente definitiva.</w:t>
      </w:r>
    </w:p>
    <w:p w14:paraId="7AD2AF1B" w14:textId="77777777"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En armonía con lo anterior, el legislador estableció la caducidad que es el plazo extintivo perentorio e improrrogable que impide el ejercicio de un derecho cuando la inactividad de la persona interesada ha permitido que transcurra el término previsto por la ley para activarlo, sin hacerlo o sea la falta de ejercicio dentro del tiempo preestablecido.</w:t>
      </w:r>
    </w:p>
    <w:p w14:paraId="7F949917" w14:textId="77777777"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Su efecto es automático en la medida que no depende ni de la actividad del juez ni de las partes, pues la norma delimitada de antemano, el tiempo para su ejercicio, determinando su principio y su fin.</w:t>
      </w:r>
    </w:p>
    <w:p w14:paraId="02C1F1FC" w14:textId="075FBA69"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 xml:space="preserve">Con la </w:t>
      </w:r>
      <w:proofErr w:type="gramStart"/>
      <w:r w:rsidRPr="0017222D">
        <w:rPr>
          <w:rFonts w:ascii="Verdana" w:hAnsi="Verdana"/>
          <w:sz w:val="22"/>
          <w:szCs w:val="22"/>
        </w:rPr>
        <w:t>entrada en vigencia</w:t>
      </w:r>
      <w:proofErr w:type="gramEnd"/>
      <w:r w:rsidRPr="0017222D">
        <w:rPr>
          <w:rFonts w:ascii="Verdana" w:hAnsi="Verdana"/>
          <w:sz w:val="22"/>
          <w:szCs w:val="22"/>
        </w:rPr>
        <w:t xml:space="preserve"> de la Ley </w:t>
      </w:r>
      <w:r w:rsidRPr="00B33194">
        <w:rPr>
          <w:rFonts w:ascii="Verdana" w:hAnsi="Verdana"/>
          <w:sz w:val="22"/>
          <w:szCs w:val="22"/>
        </w:rPr>
        <w:t>1060</w:t>
      </w:r>
      <w:r w:rsidRPr="0017222D">
        <w:rPr>
          <w:rFonts w:ascii="Verdana" w:hAnsi="Verdana"/>
          <w:sz w:val="22"/>
          <w:szCs w:val="22"/>
        </w:rPr>
        <w:t> de 2006, el término de caducidad de la acción de impugnación se amplió a ciento cuarenta (140) días siguientes a aquel en que tuvieron conocimiento de que no es el padre o madre biológica.</w:t>
      </w:r>
    </w:p>
    <w:p w14:paraId="656CEFF1" w14:textId="77777777"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Al respecto la Corte Constitucional determinó que:</w:t>
      </w:r>
    </w:p>
    <w:p w14:paraId="1F3DCE84"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 xml:space="preserve"> “El término de caducidad tiene como finalidad proteger los derechos fundamentales al estado civil y a la personalidad jurídica. Esto significa que aun cuando se consagra una barrera para el acceso a la administración de justicia, </w:t>
      </w:r>
      <w:r w:rsidRPr="0017222D">
        <w:rPr>
          <w:rFonts w:ascii="Verdana" w:hAnsi="Verdana"/>
          <w:i/>
          <w:iCs/>
          <w:sz w:val="22"/>
          <w:szCs w:val="22"/>
        </w:rPr>
        <w:lastRenderedPageBreak/>
        <w:t>se trata de una limitación que no sólo busca evitar la desidia o negligencia del interesado en el ejercicio del derecho de acción, sino también impedir la desestabilización permanente de las relaciones sociales y familiares que surgen del vínculo filial. Para la Corte, es claro que el término de caducidad impide que un individuo sobre el cual existe una duda sobré su paternidad, se vea obligado a convivir largos períodos de incertidumbre sobre su estado civil o que el mismo pueda ser controvertido en cualquier momento.</w:t>
      </w:r>
    </w:p>
    <w:p w14:paraId="21285FE4" w14:textId="77777777" w:rsidR="0017222D" w:rsidRPr="0017222D" w:rsidRDefault="0017222D" w:rsidP="0017222D">
      <w:pPr>
        <w:spacing w:line="240" w:lineRule="auto"/>
        <w:jc w:val="both"/>
        <w:rPr>
          <w:rFonts w:ascii="Verdana" w:hAnsi="Verdana"/>
          <w:sz w:val="22"/>
          <w:szCs w:val="22"/>
        </w:rPr>
      </w:pPr>
      <w:r w:rsidRPr="0017222D">
        <w:rPr>
          <w:rFonts w:ascii="Verdana" w:hAnsi="Verdana"/>
          <w:i/>
          <w:iCs/>
          <w:sz w:val="22"/>
          <w:szCs w:val="22"/>
        </w:rPr>
        <w:t>(…)</w:t>
      </w:r>
    </w:p>
    <w:p w14:paraId="24F381AD" w14:textId="0BD87E30" w:rsidR="0017222D" w:rsidRDefault="0017222D" w:rsidP="0017222D">
      <w:pPr>
        <w:spacing w:line="240" w:lineRule="auto"/>
        <w:jc w:val="both"/>
        <w:rPr>
          <w:rFonts w:ascii="Verdana" w:hAnsi="Verdana"/>
          <w:i/>
          <w:iCs/>
          <w:sz w:val="22"/>
          <w:szCs w:val="22"/>
          <w:vertAlign w:val="subscript"/>
        </w:rPr>
      </w:pPr>
      <w:r w:rsidRPr="0017222D">
        <w:rPr>
          <w:rFonts w:ascii="Verdana" w:hAnsi="Verdana"/>
          <w:i/>
          <w:iCs/>
          <w:sz w:val="22"/>
          <w:szCs w:val="22"/>
        </w:rPr>
        <w:t>A juicio de esta Sala, el término de ciento cuarenta (140) días previsto en la normatividad vigente para impugnar la paternidad, constituye un límite temporal de orden público previsto por el legislador para acudir a la administración de justicia, que tiene como propósito proteger la seguridad jurídica y a su vez, asegurar que las personas involucradas en este tipo de juicios</w:t>
      </w:r>
      <w:r w:rsidRPr="0017222D">
        <w:rPr>
          <w:rFonts w:ascii="Verdana" w:hAnsi="Verdana"/>
          <w:sz w:val="22"/>
          <w:szCs w:val="22"/>
        </w:rPr>
        <w:t>, </w:t>
      </w:r>
      <w:r w:rsidRPr="0017222D">
        <w:rPr>
          <w:rFonts w:ascii="Verdana" w:hAnsi="Verdana"/>
          <w:i/>
          <w:iCs/>
          <w:sz w:val="22"/>
          <w:szCs w:val="22"/>
        </w:rPr>
        <w:t>no se vean sometidas a la carga desproporcionada de tener que vivir con la incertidumbre permanente sobre la continuidad de su relación filial. En este sentido, por ejemplo, la Corte se pronunció en la Sentencia C-</w:t>
      </w:r>
      <w:r w:rsidRPr="00B33194">
        <w:rPr>
          <w:rFonts w:ascii="Verdana" w:hAnsi="Verdana"/>
          <w:i/>
          <w:iCs/>
          <w:sz w:val="22"/>
          <w:szCs w:val="22"/>
        </w:rPr>
        <w:t>800</w:t>
      </w:r>
      <w:r w:rsidRPr="0017222D">
        <w:rPr>
          <w:rFonts w:ascii="Verdana" w:hAnsi="Verdana"/>
          <w:i/>
          <w:iCs/>
          <w:sz w:val="22"/>
          <w:szCs w:val="22"/>
        </w:rPr>
        <w:t xml:space="preserve"> de 2000, al declarar la </w:t>
      </w:r>
      <w:proofErr w:type="spellStart"/>
      <w:r w:rsidRPr="0017222D">
        <w:rPr>
          <w:rFonts w:ascii="Verdana" w:hAnsi="Verdana"/>
          <w:i/>
          <w:iCs/>
          <w:sz w:val="22"/>
          <w:szCs w:val="22"/>
        </w:rPr>
        <w:t>exequibilidad</w:t>
      </w:r>
      <w:proofErr w:type="spellEnd"/>
      <w:r w:rsidRPr="0017222D">
        <w:rPr>
          <w:rFonts w:ascii="Verdana" w:hAnsi="Verdana"/>
          <w:i/>
          <w:iCs/>
          <w:sz w:val="22"/>
          <w:szCs w:val="22"/>
        </w:rPr>
        <w:t xml:space="preserve"> del término de caducidad de la acción de impugnación prevista en el artículo </w:t>
      </w:r>
      <w:r w:rsidRPr="00B33194">
        <w:rPr>
          <w:rFonts w:ascii="Verdana" w:hAnsi="Verdana"/>
          <w:i/>
          <w:iCs/>
          <w:sz w:val="22"/>
          <w:szCs w:val="22"/>
        </w:rPr>
        <w:t>217</w:t>
      </w:r>
      <w:r w:rsidRPr="0017222D">
        <w:rPr>
          <w:rFonts w:ascii="Verdana" w:hAnsi="Verdana"/>
          <w:i/>
          <w:iCs/>
          <w:sz w:val="22"/>
          <w:szCs w:val="22"/>
        </w:rPr>
        <w:t xml:space="preserve"> Código </w:t>
      </w:r>
      <w:proofErr w:type="gramStart"/>
      <w:r w:rsidRPr="0017222D">
        <w:rPr>
          <w:rFonts w:ascii="Verdana" w:hAnsi="Verdana"/>
          <w:i/>
          <w:iCs/>
          <w:sz w:val="22"/>
          <w:szCs w:val="22"/>
        </w:rPr>
        <w:t>Civil,  referente</w:t>
      </w:r>
      <w:proofErr w:type="gramEnd"/>
      <w:r w:rsidRPr="0017222D">
        <w:rPr>
          <w:rFonts w:ascii="Verdana" w:hAnsi="Verdana"/>
          <w:i/>
          <w:iCs/>
          <w:sz w:val="22"/>
          <w:szCs w:val="22"/>
        </w:rPr>
        <w:t xml:space="preserve"> a la posibilidad del marido de controvertir la paternidad del hijo nacido en el matrimonio, dentro de los sesenta (60) días contados desde que aquél tuvo conocimiento del </w:t>
      </w:r>
      <w:proofErr w:type="gramStart"/>
      <w:r w:rsidRPr="0017222D">
        <w:rPr>
          <w:rFonts w:ascii="Verdana" w:hAnsi="Verdana"/>
          <w:i/>
          <w:iCs/>
          <w:sz w:val="22"/>
          <w:szCs w:val="22"/>
        </w:rPr>
        <w:t>parto”</w:t>
      </w:r>
      <w:r w:rsidRPr="0017222D">
        <w:rPr>
          <w:rFonts w:ascii="Verdana" w:hAnsi="Verdana"/>
          <w:i/>
          <w:iCs/>
          <w:sz w:val="22"/>
          <w:szCs w:val="22"/>
          <w:vertAlign w:val="subscript"/>
        </w:rPr>
        <w:t>[</w:t>
      </w:r>
      <w:proofErr w:type="gramEnd"/>
      <w:r w:rsidRPr="0017222D">
        <w:rPr>
          <w:rFonts w:ascii="Verdana" w:hAnsi="Verdana"/>
          <w:i/>
          <w:iCs/>
          <w:sz w:val="22"/>
          <w:szCs w:val="22"/>
          <w:vertAlign w:val="subscript"/>
        </w:rPr>
        <w:t>6]</w:t>
      </w:r>
    </w:p>
    <w:p w14:paraId="05614066" w14:textId="77777777" w:rsidR="00B33194" w:rsidRPr="0017222D" w:rsidRDefault="00B33194" w:rsidP="0017222D">
      <w:pPr>
        <w:spacing w:line="240" w:lineRule="auto"/>
        <w:jc w:val="both"/>
        <w:rPr>
          <w:rFonts w:ascii="Verdana" w:hAnsi="Verdana"/>
          <w:sz w:val="22"/>
          <w:szCs w:val="22"/>
        </w:rPr>
      </w:pPr>
    </w:p>
    <w:p w14:paraId="2CC28724" w14:textId="77777777" w:rsidR="0017222D" w:rsidRPr="0017222D" w:rsidRDefault="0017222D" w:rsidP="0017222D">
      <w:pPr>
        <w:spacing w:line="240" w:lineRule="auto"/>
        <w:jc w:val="both"/>
        <w:rPr>
          <w:rFonts w:ascii="Verdana" w:hAnsi="Verdana"/>
          <w:sz w:val="22"/>
          <w:szCs w:val="22"/>
        </w:rPr>
      </w:pPr>
      <w:r w:rsidRPr="0017222D">
        <w:rPr>
          <w:rFonts w:ascii="Verdana" w:hAnsi="Verdana"/>
          <w:b/>
          <w:bCs/>
          <w:sz w:val="22"/>
          <w:szCs w:val="22"/>
        </w:rPr>
        <w:t>3. CONCLUSIONES</w:t>
      </w:r>
    </w:p>
    <w:p w14:paraId="3DC739E2" w14:textId="77777777"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Primero: La Filiación es </w:t>
      </w:r>
      <w:r w:rsidRPr="0017222D">
        <w:rPr>
          <w:rFonts w:ascii="Verdana" w:hAnsi="Verdana"/>
          <w:i/>
          <w:iCs/>
          <w:sz w:val="22"/>
          <w:szCs w:val="22"/>
        </w:rPr>
        <w:t>“uno de los atributos de la personalidad jurídica'',</w:t>
      </w:r>
      <w:r w:rsidRPr="0017222D">
        <w:rPr>
          <w:rFonts w:ascii="Verdana" w:hAnsi="Verdana"/>
          <w:sz w:val="22"/>
          <w:szCs w:val="22"/>
        </w:rPr>
        <w:t> reconocido como un derecho fundamental, de la cual se derivan derechos personales y patrimoniales, y obligaciones tanto para los padres como para los hijos.</w:t>
      </w:r>
    </w:p>
    <w:p w14:paraId="1F0469B9" w14:textId="264FEEEE"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Segundo: Si se pretende modificar el estado civil que posee una persona, podrá acudirse a un proceso de impugnación de la paternidad, siempre y cuando se cumplan los presupuestos contenidos en el artículo </w:t>
      </w:r>
      <w:r w:rsidRPr="00B33194">
        <w:rPr>
          <w:rFonts w:ascii="Verdana" w:hAnsi="Verdana"/>
          <w:sz w:val="22"/>
          <w:szCs w:val="22"/>
        </w:rPr>
        <w:t>248</w:t>
      </w:r>
      <w:r w:rsidRPr="0017222D">
        <w:rPr>
          <w:rFonts w:ascii="Verdana" w:hAnsi="Verdana"/>
          <w:sz w:val="22"/>
          <w:szCs w:val="22"/>
        </w:rPr>
        <w:t> del Código Civil, modificado por el artículo </w:t>
      </w:r>
      <w:r w:rsidRPr="00B33194">
        <w:rPr>
          <w:rFonts w:ascii="Verdana" w:hAnsi="Verdana"/>
          <w:sz w:val="22"/>
          <w:szCs w:val="22"/>
        </w:rPr>
        <w:t>11</w:t>
      </w:r>
      <w:r w:rsidRPr="0017222D">
        <w:rPr>
          <w:rFonts w:ascii="Verdana" w:hAnsi="Verdana"/>
          <w:sz w:val="22"/>
          <w:szCs w:val="22"/>
        </w:rPr>
        <w:t> de la Ley 1060 de 2006.</w:t>
      </w:r>
    </w:p>
    <w:p w14:paraId="075890CA" w14:textId="2154C027"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 xml:space="preserve">El presente </w:t>
      </w:r>
      <w:proofErr w:type="gramStart"/>
      <w:r w:rsidRPr="0017222D">
        <w:rPr>
          <w:rFonts w:ascii="Verdana" w:hAnsi="Verdana"/>
          <w:sz w:val="22"/>
          <w:szCs w:val="22"/>
        </w:rPr>
        <w:t>concepto</w:t>
      </w:r>
      <w:r w:rsidRPr="0017222D">
        <w:rPr>
          <w:rFonts w:ascii="Verdana" w:hAnsi="Verdana"/>
          <w:sz w:val="22"/>
          <w:szCs w:val="22"/>
          <w:vertAlign w:val="subscript"/>
        </w:rPr>
        <w:t>[</w:t>
      </w:r>
      <w:proofErr w:type="gramEnd"/>
      <w:r w:rsidRPr="0017222D">
        <w:rPr>
          <w:rFonts w:ascii="Verdana" w:hAnsi="Verdana"/>
          <w:sz w:val="22"/>
          <w:szCs w:val="22"/>
          <w:vertAlign w:val="subscript"/>
        </w:rPr>
        <w:t>7]</w:t>
      </w:r>
      <w:r w:rsidRPr="0017222D">
        <w:rPr>
          <w:rFonts w:ascii="Verdana" w:hAnsi="Verdana"/>
          <w:sz w:val="22"/>
          <w:szCs w:val="22"/>
        </w:rPr>
        <w:t> no es de obligatorio cumplimiento o ejecución para particulares o agentes externos, de conformidad con lo establecido en el artículo </w:t>
      </w:r>
      <w:r w:rsidRPr="00B33194">
        <w:rPr>
          <w:rFonts w:ascii="Verdana" w:hAnsi="Verdana"/>
          <w:sz w:val="22"/>
          <w:szCs w:val="22"/>
        </w:rPr>
        <w:t>28</w:t>
      </w:r>
      <w:r w:rsidRPr="0017222D">
        <w:rPr>
          <w:rFonts w:ascii="Verdana" w:hAnsi="Verdana"/>
          <w:sz w:val="22"/>
          <w:szCs w:val="22"/>
        </w:rPr>
        <w:t xml:space="preserve"> de la ley 1437 de 2011, Código de Procedimiento Administrativo y de lo Contencioso Administrativo. No </w:t>
      </w:r>
      <w:proofErr w:type="gramStart"/>
      <w:r w:rsidRPr="0017222D">
        <w:rPr>
          <w:rFonts w:ascii="Verdana" w:hAnsi="Verdana"/>
          <w:sz w:val="22"/>
          <w:szCs w:val="22"/>
        </w:rPr>
        <w:t>obstante</w:t>
      </w:r>
      <w:proofErr w:type="gramEnd"/>
      <w:r w:rsidRPr="0017222D">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w:t>
      </w:r>
      <w:r w:rsidRPr="0017222D">
        <w:rPr>
          <w:rFonts w:ascii="Verdana" w:hAnsi="Verdana"/>
          <w:i/>
          <w:iCs/>
          <w:sz w:val="22"/>
          <w:szCs w:val="22"/>
        </w:rPr>
        <w:t>8</w:t>
      </w:r>
      <w:r w:rsidRPr="0017222D">
        <w:rPr>
          <w:rFonts w:ascii="Verdana" w:hAnsi="Verdana"/>
          <w:sz w:val="22"/>
          <w:szCs w:val="22"/>
        </w:rPr>
        <w:t> y 15 del Decreto </w:t>
      </w:r>
      <w:r w:rsidRPr="00B33194">
        <w:rPr>
          <w:rFonts w:ascii="Verdana" w:hAnsi="Verdana"/>
          <w:sz w:val="22"/>
          <w:szCs w:val="22"/>
        </w:rPr>
        <w:t>987</w:t>
      </w:r>
      <w:r w:rsidRPr="0017222D">
        <w:rPr>
          <w:rFonts w:ascii="Verdana" w:hAnsi="Verdana"/>
          <w:sz w:val="22"/>
          <w:szCs w:val="22"/>
        </w:rPr>
        <w:t> de 2012.</w:t>
      </w:r>
    </w:p>
    <w:p w14:paraId="6BB739CC" w14:textId="77777777"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t>Cordialmente,</w:t>
      </w:r>
    </w:p>
    <w:p w14:paraId="6F312B96" w14:textId="77777777" w:rsidR="0017222D" w:rsidRPr="0017222D" w:rsidRDefault="0017222D" w:rsidP="0017222D">
      <w:pPr>
        <w:spacing w:line="240" w:lineRule="auto"/>
        <w:jc w:val="both"/>
        <w:rPr>
          <w:rFonts w:ascii="Verdana" w:hAnsi="Verdana"/>
          <w:sz w:val="22"/>
          <w:szCs w:val="22"/>
        </w:rPr>
      </w:pPr>
      <w:r w:rsidRPr="0017222D">
        <w:rPr>
          <w:rFonts w:ascii="Verdana" w:hAnsi="Verdana"/>
          <w:b/>
          <w:bCs/>
          <w:sz w:val="22"/>
          <w:szCs w:val="22"/>
        </w:rPr>
        <w:t>LUZ KARIME FERNANDEZ CASTILLO</w:t>
      </w:r>
    </w:p>
    <w:p w14:paraId="4C6209A9" w14:textId="77777777" w:rsidR="0017222D" w:rsidRPr="0017222D" w:rsidRDefault="0017222D" w:rsidP="0017222D">
      <w:pPr>
        <w:spacing w:line="240" w:lineRule="auto"/>
        <w:jc w:val="both"/>
        <w:rPr>
          <w:rFonts w:ascii="Verdana" w:hAnsi="Verdana"/>
          <w:sz w:val="22"/>
          <w:szCs w:val="22"/>
        </w:rPr>
      </w:pPr>
      <w:r w:rsidRPr="0017222D">
        <w:rPr>
          <w:rFonts w:ascii="Verdana" w:hAnsi="Verdana"/>
          <w:sz w:val="22"/>
          <w:szCs w:val="22"/>
        </w:rPr>
        <w:lastRenderedPageBreak/>
        <w:t>Jefe Oficina Asesora Jurídica</w:t>
      </w:r>
    </w:p>
    <w:p w14:paraId="0B7142ED" w14:textId="77777777" w:rsidR="00B33194" w:rsidRDefault="00B33194" w:rsidP="0017222D">
      <w:pPr>
        <w:spacing w:line="240" w:lineRule="auto"/>
        <w:jc w:val="both"/>
        <w:rPr>
          <w:rFonts w:ascii="Verdana" w:hAnsi="Verdana"/>
          <w:b/>
          <w:bCs/>
          <w:sz w:val="22"/>
          <w:szCs w:val="22"/>
        </w:rPr>
      </w:pPr>
    </w:p>
    <w:p w14:paraId="68196F16" w14:textId="178CB10F" w:rsidR="0017222D" w:rsidRPr="00B33194" w:rsidRDefault="00B33194" w:rsidP="0017222D">
      <w:pPr>
        <w:spacing w:line="240" w:lineRule="auto"/>
        <w:jc w:val="both"/>
        <w:rPr>
          <w:rFonts w:ascii="Verdana" w:hAnsi="Verdana"/>
          <w:b/>
          <w:bCs/>
          <w:sz w:val="22"/>
          <w:szCs w:val="22"/>
        </w:rPr>
      </w:pPr>
      <w:r w:rsidRPr="00B33194">
        <w:rPr>
          <w:rFonts w:ascii="Verdana" w:hAnsi="Verdana"/>
          <w:b/>
          <w:bCs/>
          <w:sz w:val="22"/>
          <w:szCs w:val="22"/>
        </w:rPr>
        <w:t xml:space="preserve">Notas Pie de Página: </w:t>
      </w:r>
    </w:p>
    <w:p w14:paraId="32C77EE7" w14:textId="5858C8D0" w:rsidR="0017222D" w:rsidRPr="00B33194" w:rsidRDefault="0017222D" w:rsidP="00723955">
      <w:pPr>
        <w:pStyle w:val="Prrafodelista"/>
        <w:numPr>
          <w:ilvl w:val="0"/>
          <w:numId w:val="1"/>
        </w:numPr>
        <w:spacing w:line="240" w:lineRule="auto"/>
        <w:jc w:val="both"/>
        <w:rPr>
          <w:rFonts w:ascii="Verdana" w:hAnsi="Verdana"/>
          <w:sz w:val="22"/>
          <w:szCs w:val="22"/>
        </w:rPr>
      </w:pPr>
      <w:r w:rsidRPr="00B33194">
        <w:rPr>
          <w:rFonts w:ascii="Verdana" w:hAnsi="Verdana"/>
          <w:sz w:val="22"/>
          <w:szCs w:val="22"/>
        </w:rPr>
        <w:t>C-109/95</w:t>
      </w:r>
    </w:p>
    <w:p w14:paraId="2A5C2A94" w14:textId="5CCFE24F" w:rsidR="0017222D" w:rsidRPr="00B33194" w:rsidRDefault="0017222D" w:rsidP="00723955">
      <w:pPr>
        <w:pStyle w:val="Prrafodelista"/>
        <w:numPr>
          <w:ilvl w:val="0"/>
          <w:numId w:val="1"/>
        </w:numPr>
        <w:spacing w:line="240" w:lineRule="auto"/>
        <w:jc w:val="both"/>
        <w:rPr>
          <w:rFonts w:ascii="Verdana" w:hAnsi="Verdana"/>
          <w:sz w:val="22"/>
          <w:szCs w:val="22"/>
        </w:rPr>
      </w:pPr>
      <w:r w:rsidRPr="00B33194">
        <w:rPr>
          <w:rFonts w:ascii="Verdana" w:hAnsi="Verdana"/>
          <w:sz w:val="22"/>
          <w:szCs w:val="22"/>
        </w:rPr>
        <w:t>Convención internacional sobre los Derechos del niño. “Por medio de la cual se aprueba la Convención sobre los Derechos Del Niño adoptada por la Asamblea General de las Naciones Unidas el 20 de noviembre de 1989".</w:t>
      </w:r>
    </w:p>
    <w:p w14:paraId="2CDA2E42" w14:textId="6BA17003" w:rsidR="0017222D" w:rsidRPr="00B33194" w:rsidRDefault="0017222D" w:rsidP="00723955">
      <w:pPr>
        <w:pStyle w:val="Prrafodelista"/>
        <w:numPr>
          <w:ilvl w:val="0"/>
          <w:numId w:val="1"/>
        </w:numPr>
        <w:spacing w:line="240" w:lineRule="auto"/>
        <w:jc w:val="both"/>
        <w:rPr>
          <w:rFonts w:ascii="Verdana" w:hAnsi="Verdana"/>
          <w:sz w:val="22"/>
          <w:szCs w:val="22"/>
        </w:rPr>
      </w:pPr>
      <w:r w:rsidRPr="00B33194">
        <w:rPr>
          <w:rFonts w:ascii="Verdana" w:hAnsi="Verdana"/>
          <w:sz w:val="22"/>
          <w:szCs w:val="22"/>
        </w:rPr>
        <w:t>En la Sentencia C-109 de 1995 la Corte señaló; "De un lado, estos derechos aparecen relacionados con la dignidad humana, que es principio fundamente del Estado colombiano (...) De otro lado, la Constitución consagra el derecho al libre desarrollo de la personalidad (…) Ahora bien, un elemento esencial de todo ser humano para desabollarse libremente como persona es la posibilidad de fijar autónomamente su identidad para poder relacionarse con los otros seres humanos.”</w:t>
      </w:r>
    </w:p>
    <w:p w14:paraId="492D602F" w14:textId="77777777" w:rsidR="0017222D" w:rsidRPr="00B33194" w:rsidRDefault="0017222D" w:rsidP="00B33194">
      <w:pPr>
        <w:pStyle w:val="Prrafodelista"/>
        <w:spacing w:line="240" w:lineRule="auto"/>
        <w:jc w:val="both"/>
        <w:rPr>
          <w:rFonts w:ascii="Verdana" w:hAnsi="Verdana"/>
          <w:sz w:val="22"/>
          <w:szCs w:val="22"/>
        </w:rPr>
      </w:pPr>
      <w:r w:rsidRPr="00B33194">
        <w:rPr>
          <w:rFonts w:ascii="Verdana" w:hAnsi="Verdana"/>
          <w:sz w:val="22"/>
          <w:szCs w:val="22"/>
        </w:rPr>
        <w:t xml:space="preserve">Y más adelante concluyó: “Todo lo anterior muestra que la filiación legal, como atributo de la personalidad, no puede ser un elemento puramente formal, sino que </w:t>
      </w:r>
      <w:proofErr w:type="gramStart"/>
      <w:r w:rsidRPr="00B33194">
        <w:rPr>
          <w:rFonts w:ascii="Verdana" w:hAnsi="Verdana"/>
          <w:sz w:val="22"/>
          <w:szCs w:val="22"/>
        </w:rPr>
        <w:t>tiene que tener</w:t>
      </w:r>
      <w:proofErr w:type="gramEnd"/>
      <w:r w:rsidRPr="00B33194">
        <w:rPr>
          <w:rFonts w:ascii="Verdana" w:hAnsi="Verdana"/>
          <w:sz w:val="22"/>
          <w:szCs w:val="22"/>
        </w:rPr>
        <w:t xml:space="preserve"> un sustento en la realidad táctica de las relaciones humanas a fin de que se respete la igual dignidad de todos los seres humanos y su derecho a estructurar y desarrollar de manera autónoma su personalidad".</w:t>
      </w:r>
    </w:p>
    <w:p w14:paraId="6CCFCC7B" w14:textId="772EE86C" w:rsidR="0017222D" w:rsidRPr="00B33194" w:rsidRDefault="0017222D" w:rsidP="00723955">
      <w:pPr>
        <w:pStyle w:val="Prrafodelista"/>
        <w:numPr>
          <w:ilvl w:val="0"/>
          <w:numId w:val="1"/>
        </w:numPr>
        <w:spacing w:line="240" w:lineRule="auto"/>
        <w:jc w:val="both"/>
        <w:rPr>
          <w:rFonts w:ascii="Verdana" w:hAnsi="Verdana"/>
          <w:sz w:val="22"/>
          <w:szCs w:val="22"/>
        </w:rPr>
      </w:pPr>
      <w:r w:rsidRPr="00B33194">
        <w:rPr>
          <w:rFonts w:ascii="Verdana" w:hAnsi="Verdana"/>
          <w:sz w:val="22"/>
          <w:szCs w:val="22"/>
        </w:rPr>
        <w:t>Artículo 1o de la Ley 75 de 1966</w:t>
      </w:r>
    </w:p>
    <w:p w14:paraId="7AE4699D" w14:textId="689E83C0" w:rsidR="0017222D" w:rsidRPr="00B33194" w:rsidRDefault="0017222D" w:rsidP="00723955">
      <w:pPr>
        <w:pStyle w:val="Prrafodelista"/>
        <w:numPr>
          <w:ilvl w:val="0"/>
          <w:numId w:val="1"/>
        </w:numPr>
        <w:spacing w:line="240" w:lineRule="auto"/>
        <w:jc w:val="both"/>
        <w:rPr>
          <w:rFonts w:ascii="Verdana" w:hAnsi="Verdana"/>
          <w:sz w:val="22"/>
          <w:szCs w:val="22"/>
        </w:rPr>
      </w:pPr>
      <w:r w:rsidRPr="00B33194">
        <w:rPr>
          <w:rFonts w:ascii="Verdana" w:hAnsi="Verdana"/>
          <w:sz w:val="22"/>
          <w:szCs w:val="22"/>
        </w:rPr>
        <w:t>Artículo 216. Podrán Impugnar la paternidad del hijo nacido durante el matrimonio o en vigencia de la unión marital de hecho, el cónyuge o compañero permanente y la madre, dentro de los ciento (140) días siguientes a aquel en que tuvieron conocimiento de que no es el padre o madre biológico.</w:t>
      </w:r>
    </w:p>
    <w:p w14:paraId="27B4B1A2" w14:textId="0AA40D0C" w:rsidR="0017222D" w:rsidRPr="00B33194" w:rsidRDefault="0017222D" w:rsidP="00B33194">
      <w:pPr>
        <w:pStyle w:val="Prrafodelista"/>
        <w:spacing w:line="240" w:lineRule="auto"/>
        <w:jc w:val="both"/>
        <w:rPr>
          <w:rFonts w:ascii="Verdana" w:hAnsi="Verdana"/>
          <w:sz w:val="22"/>
          <w:szCs w:val="22"/>
        </w:rPr>
      </w:pPr>
      <w:r w:rsidRPr="00B33194">
        <w:rPr>
          <w:rFonts w:ascii="Verdana" w:hAnsi="Verdana"/>
          <w:sz w:val="22"/>
          <w:szCs w:val="22"/>
        </w:rPr>
        <w:t>Artículo 248. En los demás casos podrá Impugnarse la paternidad probando alguna de las causas siguientes:</w:t>
      </w:r>
    </w:p>
    <w:p w14:paraId="5A0F6898" w14:textId="2A01D141" w:rsidR="0017222D" w:rsidRPr="00B33194" w:rsidRDefault="0017222D" w:rsidP="00723955">
      <w:pPr>
        <w:pStyle w:val="Prrafodelista"/>
        <w:numPr>
          <w:ilvl w:val="0"/>
          <w:numId w:val="2"/>
        </w:numPr>
        <w:spacing w:line="240" w:lineRule="auto"/>
        <w:ind w:left="1068"/>
        <w:jc w:val="both"/>
        <w:rPr>
          <w:rFonts w:ascii="Verdana" w:hAnsi="Verdana"/>
          <w:sz w:val="22"/>
          <w:szCs w:val="22"/>
        </w:rPr>
      </w:pPr>
      <w:r w:rsidRPr="00B33194">
        <w:rPr>
          <w:rFonts w:ascii="Verdana" w:hAnsi="Verdana"/>
          <w:sz w:val="22"/>
          <w:szCs w:val="22"/>
        </w:rPr>
        <w:t>Que el hijo no ha podido tener por padre al que pasa por tal.</w:t>
      </w:r>
    </w:p>
    <w:p w14:paraId="1C2C79C5" w14:textId="3249A313" w:rsidR="0017222D" w:rsidRPr="00B33194" w:rsidRDefault="0017222D" w:rsidP="00723955">
      <w:pPr>
        <w:pStyle w:val="Prrafodelista"/>
        <w:numPr>
          <w:ilvl w:val="0"/>
          <w:numId w:val="2"/>
        </w:numPr>
        <w:spacing w:line="240" w:lineRule="auto"/>
        <w:ind w:left="1068"/>
        <w:jc w:val="both"/>
        <w:rPr>
          <w:rFonts w:ascii="Verdana" w:hAnsi="Verdana"/>
          <w:sz w:val="22"/>
          <w:szCs w:val="22"/>
        </w:rPr>
      </w:pPr>
      <w:r w:rsidRPr="00B33194">
        <w:rPr>
          <w:rFonts w:ascii="Verdana" w:hAnsi="Verdana"/>
          <w:sz w:val="22"/>
          <w:szCs w:val="22"/>
        </w:rPr>
        <w:t>Que el hijo no ha tenido por madre a la que pasa por tal, sujetándose esta alegación a lo dispuesto en el título 18 de la maternidad disputada.</w:t>
      </w:r>
    </w:p>
    <w:p w14:paraId="71483947" w14:textId="77777777" w:rsidR="0017222D" w:rsidRPr="00B33194" w:rsidRDefault="0017222D" w:rsidP="00B33194">
      <w:pPr>
        <w:pStyle w:val="Prrafodelista"/>
        <w:spacing w:line="240" w:lineRule="auto"/>
        <w:ind w:left="1068"/>
        <w:jc w:val="both"/>
        <w:rPr>
          <w:rFonts w:ascii="Verdana" w:hAnsi="Verdana"/>
          <w:sz w:val="22"/>
          <w:szCs w:val="22"/>
        </w:rPr>
      </w:pPr>
      <w:r w:rsidRPr="00B33194">
        <w:rPr>
          <w:rFonts w:ascii="Verdana" w:hAnsi="Verdana"/>
          <w:sz w:val="22"/>
          <w:szCs w:val="22"/>
        </w:rPr>
        <w:t>No serán oídos contra la paternidad sino los que prueben un interés actual en ello, y los ascendientes de quienes se creen con derechos, durante los 140 días desde que tuvieron conocimiento de la paternidad.</w:t>
      </w:r>
    </w:p>
    <w:p w14:paraId="7ACA5A44" w14:textId="0A81ECE1" w:rsidR="0017222D" w:rsidRPr="00B33194" w:rsidRDefault="0017222D" w:rsidP="00723955">
      <w:pPr>
        <w:pStyle w:val="Prrafodelista"/>
        <w:numPr>
          <w:ilvl w:val="0"/>
          <w:numId w:val="1"/>
        </w:numPr>
        <w:spacing w:line="240" w:lineRule="auto"/>
        <w:jc w:val="both"/>
        <w:rPr>
          <w:rFonts w:ascii="Verdana" w:hAnsi="Verdana"/>
          <w:sz w:val="22"/>
          <w:szCs w:val="22"/>
        </w:rPr>
      </w:pPr>
      <w:r w:rsidRPr="00B33194">
        <w:rPr>
          <w:rFonts w:ascii="Verdana" w:hAnsi="Verdana"/>
          <w:sz w:val="22"/>
          <w:szCs w:val="22"/>
        </w:rPr>
        <w:t>“Sentencia T-381/13 Magistrado Ponente: Luis Guillermo Guerrero Pérez</w:t>
      </w:r>
    </w:p>
    <w:p w14:paraId="3FF5DE1C" w14:textId="0D8D38D4" w:rsidR="0017222D" w:rsidRPr="00B33194" w:rsidRDefault="0017222D" w:rsidP="00723955">
      <w:pPr>
        <w:pStyle w:val="Prrafodelista"/>
        <w:numPr>
          <w:ilvl w:val="0"/>
          <w:numId w:val="1"/>
        </w:numPr>
        <w:spacing w:line="240" w:lineRule="auto"/>
        <w:jc w:val="both"/>
        <w:rPr>
          <w:rFonts w:ascii="Verdana" w:hAnsi="Verdana"/>
          <w:sz w:val="22"/>
          <w:szCs w:val="22"/>
        </w:rPr>
      </w:pPr>
      <w:r w:rsidRPr="00B33194">
        <w:rPr>
          <w:rFonts w:ascii="Verdana" w:hAnsi="Verdana"/>
          <w:sz w:val="22"/>
          <w:szCs w:val="22"/>
        </w:rPr>
        <w:t xml:space="preserve">Como al realizar </w:t>
      </w:r>
      <w:proofErr w:type="gramStart"/>
      <w:r w:rsidRPr="00B33194">
        <w:rPr>
          <w:rFonts w:ascii="Verdana" w:hAnsi="Verdana"/>
          <w:sz w:val="22"/>
          <w:szCs w:val="22"/>
        </w:rPr>
        <w:t>los referidas intervenciones</w:t>
      </w:r>
      <w:proofErr w:type="gramEnd"/>
      <w:r w:rsidRPr="00B33194">
        <w:rPr>
          <w:rFonts w:ascii="Verdana" w:hAnsi="Verdana"/>
          <w:sz w:val="22"/>
          <w:szCs w:val="22"/>
        </w:rPr>
        <w:t xml:space="preserve"> la Administración debe aplicar el derecho, no siempre a través de funcionarios con conocimientos jurídicos, o cuando la debida ejecución de la ley requiere precisiones de orden técnico, se hace necesario que aquella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w:t>
      </w:r>
      <w:r w:rsidRPr="00B33194">
        <w:rPr>
          <w:rFonts w:ascii="Verdana" w:hAnsi="Verdana"/>
          <w:sz w:val="22"/>
          <w:szCs w:val="22"/>
        </w:rPr>
        <w:lastRenderedPageBreak/>
        <w:t>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5298B1E3" w14:textId="7E8B3112" w:rsidR="00A724C4" w:rsidRPr="003A51CD" w:rsidRDefault="00A724C4" w:rsidP="003A51CD">
      <w:pPr>
        <w:spacing w:line="240" w:lineRule="auto"/>
        <w:jc w:val="both"/>
        <w:rPr>
          <w:rFonts w:ascii="Verdana" w:hAnsi="Verdana"/>
          <w:sz w:val="22"/>
          <w:szCs w:val="22"/>
        </w:rPr>
      </w:pPr>
    </w:p>
    <w:sectPr w:rsidR="00A724C4" w:rsidRPr="003A51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1"/>
  </w:num>
  <w:num w:numId="2" w16cid:durableId="59736672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B6B07"/>
    <w:rsid w:val="000F7E26"/>
    <w:rsid w:val="0010552A"/>
    <w:rsid w:val="00125916"/>
    <w:rsid w:val="00127D97"/>
    <w:rsid w:val="00146F83"/>
    <w:rsid w:val="0017222D"/>
    <w:rsid w:val="00181D66"/>
    <w:rsid w:val="001A21EC"/>
    <w:rsid w:val="001A3BD7"/>
    <w:rsid w:val="0020317C"/>
    <w:rsid w:val="0021626E"/>
    <w:rsid w:val="00243CB4"/>
    <w:rsid w:val="00266ECF"/>
    <w:rsid w:val="003071DE"/>
    <w:rsid w:val="0034018A"/>
    <w:rsid w:val="003757B6"/>
    <w:rsid w:val="003A51CD"/>
    <w:rsid w:val="003E14A4"/>
    <w:rsid w:val="003F5ABD"/>
    <w:rsid w:val="004032C9"/>
    <w:rsid w:val="00404622"/>
    <w:rsid w:val="00464D81"/>
    <w:rsid w:val="004B5C62"/>
    <w:rsid w:val="004C739F"/>
    <w:rsid w:val="00522476"/>
    <w:rsid w:val="00556F3D"/>
    <w:rsid w:val="005811A8"/>
    <w:rsid w:val="005C1334"/>
    <w:rsid w:val="005D3ED4"/>
    <w:rsid w:val="006002B6"/>
    <w:rsid w:val="00692316"/>
    <w:rsid w:val="006E53EF"/>
    <w:rsid w:val="00723955"/>
    <w:rsid w:val="00783D63"/>
    <w:rsid w:val="007C0F3C"/>
    <w:rsid w:val="007D5988"/>
    <w:rsid w:val="007F2817"/>
    <w:rsid w:val="008060C8"/>
    <w:rsid w:val="0083251A"/>
    <w:rsid w:val="008A241F"/>
    <w:rsid w:val="009159F9"/>
    <w:rsid w:val="0093086C"/>
    <w:rsid w:val="0096208E"/>
    <w:rsid w:val="0099298F"/>
    <w:rsid w:val="009A02E2"/>
    <w:rsid w:val="009D6ED5"/>
    <w:rsid w:val="009E3B0B"/>
    <w:rsid w:val="00A674FF"/>
    <w:rsid w:val="00A724C4"/>
    <w:rsid w:val="00AD442C"/>
    <w:rsid w:val="00B31D81"/>
    <w:rsid w:val="00B330EA"/>
    <w:rsid w:val="00B33194"/>
    <w:rsid w:val="00BF0383"/>
    <w:rsid w:val="00C13107"/>
    <w:rsid w:val="00C60F44"/>
    <w:rsid w:val="00D03B71"/>
    <w:rsid w:val="00D40E92"/>
    <w:rsid w:val="00D61345"/>
    <w:rsid w:val="00D96A0B"/>
    <w:rsid w:val="00E56025"/>
    <w:rsid w:val="00E56719"/>
    <w:rsid w:val="00E61C80"/>
    <w:rsid w:val="00E642C9"/>
    <w:rsid w:val="00E73F67"/>
    <w:rsid w:val="00E857BE"/>
    <w:rsid w:val="00E9099E"/>
    <w:rsid w:val="00EA7F32"/>
    <w:rsid w:val="00EC1640"/>
    <w:rsid w:val="00EE5641"/>
    <w:rsid w:val="00EF582B"/>
    <w:rsid w:val="00F11CE0"/>
    <w:rsid w:val="00F67EA1"/>
    <w:rsid w:val="00F74B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03969FA5-67FD-4E95-A5A4-AD8F0C91A7D7}"/>
</file>

<file path=customXml/itemProps2.xml><?xml version="1.0" encoding="utf-8"?>
<ds:datastoreItem xmlns:ds="http://schemas.openxmlformats.org/officeDocument/2006/customXml" ds:itemID="{0D96F615-3267-41A5-A5BC-957CFC65AAD1}"/>
</file>

<file path=customXml/itemProps3.xml><?xml version="1.0" encoding="utf-8"?>
<ds:datastoreItem xmlns:ds="http://schemas.openxmlformats.org/officeDocument/2006/customXml" ds:itemID="{AB40C744-6FED-4E98-B18D-B5C3D6B4A58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103</TotalTime>
  <Pages>10</Pages>
  <Words>4043</Words>
  <Characters>22237</Characters>
  <Application>Microsoft Office Word</Application>
  <DocSecurity>0</DocSecurity>
  <Lines>185</Lines>
  <Paragraphs>52</Paragraphs>
  <ScaleCrop>false</ScaleCrop>
  <Company/>
  <LinksUpToDate>false</LinksUpToDate>
  <CharactersWithSpaces>26228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56</cp:revision>
  <dcterms:created xsi:type="dcterms:W3CDTF">2026-05-08T19:08:00Z</dcterms:created>
  <dcterms:modified xsi:type="dcterms:W3CDTF">2026-07-07T22:34:00Z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