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5975" w14:textId="77777777" w:rsidR="00585967" w:rsidRPr="00585967" w:rsidRDefault="00585967" w:rsidP="00585967">
      <w:pPr>
        <w:jc w:val="center"/>
        <w:rPr>
          <w:rFonts w:ascii="Verdana" w:hAnsi="Verdana"/>
          <w:sz w:val="22"/>
          <w:szCs w:val="22"/>
        </w:rPr>
      </w:pPr>
      <w:r w:rsidRPr="00585967">
        <w:rPr>
          <w:rFonts w:ascii="Verdana" w:hAnsi="Verdana"/>
          <w:b/>
          <w:bCs/>
          <w:sz w:val="22"/>
          <w:szCs w:val="22"/>
        </w:rPr>
        <w:t>CONCEPTO 71 DE 2016</w:t>
      </w:r>
    </w:p>
    <w:p w14:paraId="0A9BABBC" w14:textId="77777777" w:rsidR="00585967" w:rsidRPr="00585967" w:rsidRDefault="00585967" w:rsidP="00585967">
      <w:pPr>
        <w:jc w:val="center"/>
        <w:rPr>
          <w:rFonts w:ascii="Verdana" w:hAnsi="Verdana"/>
          <w:sz w:val="22"/>
          <w:szCs w:val="22"/>
        </w:rPr>
      </w:pPr>
      <w:r w:rsidRPr="00585967">
        <w:rPr>
          <w:rFonts w:ascii="Verdana" w:hAnsi="Verdana"/>
          <w:sz w:val="22"/>
          <w:szCs w:val="22"/>
        </w:rPr>
        <w:t>(junio 30)</w:t>
      </w:r>
    </w:p>
    <w:p w14:paraId="5E795BEA" w14:textId="77777777" w:rsidR="00585967" w:rsidRPr="00585967" w:rsidRDefault="00585967" w:rsidP="00585967">
      <w:pPr>
        <w:jc w:val="center"/>
        <w:rPr>
          <w:rFonts w:ascii="Verdana" w:hAnsi="Verdana"/>
          <w:sz w:val="22"/>
          <w:szCs w:val="22"/>
        </w:rPr>
      </w:pPr>
      <w:r w:rsidRPr="00585967">
        <w:rPr>
          <w:rFonts w:ascii="Verdana" w:hAnsi="Verdana"/>
          <w:b/>
          <w:bCs/>
          <w:sz w:val="22"/>
          <w:szCs w:val="22"/>
        </w:rPr>
        <w:t>INSTITUTO COLOMBIANO DE BIENESTAR FAMILIAR</w:t>
      </w:r>
    </w:p>
    <w:p w14:paraId="5F1F3F91" w14:textId="77777777" w:rsidR="00585967" w:rsidRDefault="00585967" w:rsidP="00585967">
      <w:pPr>
        <w:jc w:val="both"/>
        <w:rPr>
          <w:rFonts w:ascii="Verdana" w:hAnsi="Verdana"/>
          <w:sz w:val="22"/>
          <w:szCs w:val="22"/>
        </w:rPr>
      </w:pPr>
    </w:p>
    <w:p w14:paraId="5346A6AA" w14:textId="5B016226" w:rsidR="00585967" w:rsidRDefault="00585967" w:rsidP="00585967">
      <w:pPr>
        <w:jc w:val="both"/>
        <w:rPr>
          <w:rFonts w:ascii="Verdana" w:hAnsi="Verdana"/>
          <w:sz w:val="22"/>
          <w:szCs w:val="22"/>
        </w:rPr>
      </w:pPr>
      <w:r w:rsidRPr="00585967">
        <w:rPr>
          <w:rFonts w:ascii="Verdana" w:hAnsi="Verdana"/>
          <w:b/>
          <w:bCs/>
          <w:sz w:val="22"/>
          <w:szCs w:val="22"/>
        </w:rPr>
        <w:t>ASUNTO:</w:t>
      </w:r>
      <w:r w:rsidRPr="00585967">
        <w:rPr>
          <w:rFonts w:ascii="Verdana" w:hAnsi="Verdana"/>
          <w:sz w:val="22"/>
          <w:szCs w:val="22"/>
        </w:rPr>
        <w:tab/>
        <w:t>Solicitud de concepto radicado bajo el No. 286444 del 15 de junio de 2016.</w:t>
      </w:r>
    </w:p>
    <w:p w14:paraId="0F4846A9" w14:textId="2BAF93BE" w:rsidR="00585967" w:rsidRDefault="00585967" w:rsidP="00585967">
      <w:pPr>
        <w:jc w:val="both"/>
        <w:rPr>
          <w:rFonts w:ascii="Verdana" w:hAnsi="Verdana"/>
          <w:sz w:val="22"/>
          <w:szCs w:val="22"/>
        </w:rPr>
      </w:pPr>
      <w:r w:rsidRPr="00585967">
        <w:rPr>
          <w:rFonts w:ascii="Verdana" w:hAnsi="Verdana"/>
          <w:b/>
          <w:bCs/>
          <w:sz w:val="22"/>
          <w:szCs w:val="22"/>
        </w:rPr>
        <w:t>PARA:</w:t>
      </w:r>
      <w:r w:rsidRPr="00585967">
        <w:rPr>
          <w:rFonts w:ascii="Verdana" w:hAnsi="Verdana"/>
          <w:sz w:val="22"/>
          <w:szCs w:val="22"/>
        </w:rPr>
        <w:tab/>
        <w:t>Defensora de Familia</w:t>
      </w:r>
      <w:r>
        <w:rPr>
          <w:rFonts w:ascii="Verdana" w:hAnsi="Verdana"/>
          <w:sz w:val="22"/>
          <w:szCs w:val="22"/>
        </w:rPr>
        <w:t xml:space="preserve">, </w:t>
      </w:r>
      <w:r w:rsidRPr="00585967">
        <w:rPr>
          <w:rFonts w:ascii="Verdana" w:hAnsi="Verdana"/>
          <w:sz w:val="22"/>
          <w:szCs w:val="22"/>
        </w:rPr>
        <w:t>Centro Zonal Ipiales</w:t>
      </w:r>
      <w:r>
        <w:rPr>
          <w:rFonts w:ascii="Verdana" w:hAnsi="Verdana"/>
          <w:sz w:val="22"/>
          <w:szCs w:val="22"/>
        </w:rPr>
        <w:t xml:space="preserve"> y </w:t>
      </w:r>
      <w:r w:rsidRPr="00585967">
        <w:rPr>
          <w:rFonts w:ascii="Verdana" w:hAnsi="Verdana"/>
          <w:sz w:val="22"/>
          <w:szCs w:val="22"/>
        </w:rPr>
        <w:t>Regional ICBF Nariño</w:t>
      </w:r>
    </w:p>
    <w:p w14:paraId="4C391304" w14:textId="5874AE1C" w:rsidR="00585967" w:rsidRPr="00585967" w:rsidRDefault="00585967" w:rsidP="00585967">
      <w:pPr>
        <w:jc w:val="both"/>
        <w:rPr>
          <w:rFonts w:ascii="Verdana" w:hAnsi="Verdana"/>
          <w:sz w:val="22"/>
          <w:szCs w:val="22"/>
        </w:rPr>
      </w:pPr>
      <w:r w:rsidRPr="00585967">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49B7138" w14:textId="192A5872" w:rsidR="00585967" w:rsidRPr="00585967" w:rsidRDefault="00585967" w:rsidP="00585967">
      <w:pPr>
        <w:pStyle w:val="Prrafodelista"/>
        <w:numPr>
          <w:ilvl w:val="0"/>
          <w:numId w:val="4"/>
        </w:numPr>
        <w:jc w:val="both"/>
        <w:rPr>
          <w:rFonts w:ascii="Verdana" w:hAnsi="Verdana"/>
          <w:sz w:val="22"/>
          <w:szCs w:val="22"/>
        </w:rPr>
      </w:pPr>
      <w:r w:rsidRPr="00585967">
        <w:rPr>
          <w:rFonts w:ascii="Verdana" w:hAnsi="Verdana"/>
          <w:b/>
          <w:bCs/>
          <w:sz w:val="22"/>
          <w:szCs w:val="22"/>
        </w:rPr>
        <w:t>PROBLEMA JURÍDICO</w:t>
      </w:r>
    </w:p>
    <w:p w14:paraId="1A535959" w14:textId="77777777" w:rsidR="00585967" w:rsidRPr="00585967" w:rsidRDefault="00585967" w:rsidP="00585967">
      <w:pPr>
        <w:jc w:val="both"/>
        <w:rPr>
          <w:rFonts w:ascii="Verdana" w:hAnsi="Verdana"/>
          <w:sz w:val="22"/>
          <w:szCs w:val="22"/>
        </w:rPr>
      </w:pPr>
      <w:r w:rsidRPr="00585967">
        <w:rPr>
          <w:rFonts w:ascii="Verdana" w:hAnsi="Verdana"/>
          <w:sz w:val="22"/>
          <w:szCs w:val="22"/>
        </w:rPr>
        <w:t>¿El Defensor de Familia puede continuar conociendo del Proceso Administrativo de Restablecimiento de Derechos a favor de un niño, niña o adolescentes que cumple la mayoría de edad estando bajo protección del ICBF?</w:t>
      </w:r>
    </w:p>
    <w:p w14:paraId="0A97634F" w14:textId="77777777" w:rsidR="00585967" w:rsidRPr="00585967" w:rsidRDefault="00585967" w:rsidP="00585967">
      <w:pPr>
        <w:jc w:val="both"/>
        <w:rPr>
          <w:rFonts w:ascii="Verdana" w:hAnsi="Verdana"/>
          <w:sz w:val="22"/>
          <w:szCs w:val="22"/>
        </w:rPr>
      </w:pPr>
      <w:r w:rsidRPr="00585967">
        <w:rPr>
          <w:rFonts w:ascii="Verdana" w:hAnsi="Verdana"/>
          <w:sz w:val="22"/>
          <w:szCs w:val="22"/>
        </w:rPr>
        <w:t>¿Puede igualmente por haber alcanzado la mayoría de edad y en el evento tal de ser procedente tomarse como medida de protección la declaratoria de Adoptabilidad?</w:t>
      </w:r>
    </w:p>
    <w:p w14:paraId="6CC9751C" w14:textId="50CE34D0" w:rsidR="00585967" w:rsidRPr="00585967" w:rsidRDefault="00585967" w:rsidP="00585967">
      <w:pPr>
        <w:pStyle w:val="Prrafodelista"/>
        <w:numPr>
          <w:ilvl w:val="0"/>
          <w:numId w:val="4"/>
        </w:numPr>
        <w:jc w:val="both"/>
        <w:rPr>
          <w:rFonts w:ascii="Verdana" w:hAnsi="Verdana"/>
          <w:sz w:val="22"/>
          <w:szCs w:val="22"/>
        </w:rPr>
      </w:pPr>
      <w:r w:rsidRPr="00585967">
        <w:rPr>
          <w:rFonts w:ascii="Verdana" w:hAnsi="Verdana"/>
          <w:b/>
          <w:bCs/>
          <w:sz w:val="22"/>
          <w:szCs w:val="22"/>
        </w:rPr>
        <w:t>ANÁLISIS DEL PROBLEMA JURÍDICO</w:t>
      </w:r>
    </w:p>
    <w:p w14:paraId="079EA1D8" w14:textId="77777777" w:rsidR="00585967" w:rsidRPr="00585967" w:rsidRDefault="00585967" w:rsidP="00585967">
      <w:pPr>
        <w:jc w:val="both"/>
        <w:rPr>
          <w:rFonts w:ascii="Verdana" w:hAnsi="Verdana"/>
          <w:sz w:val="22"/>
          <w:szCs w:val="22"/>
        </w:rPr>
      </w:pPr>
      <w:r w:rsidRPr="00585967">
        <w:rPr>
          <w:rFonts w:ascii="Verdana" w:hAnsi="Verdana"/>
          <w:sz w:val="22"/>
          <w:szCs w:val="22"/>
        </w:rPr>
        <w:t>Se abordará el tema analizando: (2.1) El proceso Administrativo de Restablecimiento de Derechos; (2.2) Los términos que tiene el Defensor de Familia para resolver el trámite administrativo de Restablecimiento de Derechos; (2.3) Pronunciamiento de la Corte Constitucional sobre el término que tiene el Defensor de Familia para resolver el Proceso Administrativo de Restablecimiento de Derechos y (2.4) Preparación para el egreso del ICBF de los adolescentes que cumplen la mayoría de edad bajo protección del ICBF.</w:t>
      </w:r>
    </w:p>
    <w:p w14:paraId="6BB399E2" w14:textId="77777777" w:rsidR="00585967" w:rsidRPr="00585967" w:rsidRDefault="00585967" w:rsidP="00585967">
      <w:pPr>
        <w:jc w:val="both"/>
        <w:rPr>
          <w:rFonts w:ascii="Verdana" w:hAnsi="Verdana"/>
          <w:sz w:val="22"/>
          <w:szCs w:val="22"/>
        </w:rPr>
      </w:pPr>
      <w:r w:rsidRPr="00585967">
        <w:rPr>
          <w:rFonts w:ascii="Verdana" w:hAnsi="Verdana"/>
          <w:sz w:val="22"/>
          <w:szCs w:val="22"/>
        </w:rPr>
        <w:t>(2.1) El proceso Administrativo de Restablecimiento de Derechos</w:t>
      </w:r>
    </w:p>
    <w:p w14:paraId="642358B4" w14:textId="7CA4C667" w:rsidR="00585967" w:rsidRPr="00585967" w:rsidRDefault="00585967" w:rsidP="00585967">
      <w:pPr>
        <w:jc w:val="both"/>
        <w:rPr>
          <w:rFonts w:ascii="Verdana" w:hAnsi="Verdana"/>
          <w:sz w:val="22"/>
          <w:szCs w:val="22"/>
        </w:rPr>
      </w:pPr>
      <w:r w:rsidRPr="00585967">
        <w:rPr>
          <w:rFonts w:ascii="Verdana" w:hAnsi="Verdana"/>
          <w:sz w:val="22"/>
          <w:szCs w:val="22"/>
        </w:rPr>
        <w:t xml:space="preserve">Iniciamos </w:t>
      </w:r>
      <w:proofErr w:type="gramStart"/>
      <w:r w:rsidRPr="00585967">
        <w:rPr>
          <w:rFonts w:ascii="Verdana" w:hAnsi="Verdana"/>
          <w:sz w:val="22"/>
          <w:szCs w:val="22"/>
        </w:rPr>
        <w:t>éste</w:t>
      </w:r>
      <w:proofErr w:type="gramEnd"/>
      <w:r w:rsidRPr="00585967">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 Es responsabilidad del Estado, a través de sus autoridades, informar, oficiar o conducir ante la policía, las defensorías de familia, las comisarías de familia o en su defecto, ante los inspectores de policía o las </w:t>
      </w:r>
      <w:r w:rsidRPr="00585967">
        <w:rPr>
          <w:rFonts w:ascii="Verdana" w:hAnsi="Verdana"/>
          <w:sz w:val="22"/>
          <w:szCs w:val="22"/>
        </w:rPr>
        <w:lastRenderedPageBreak/>
        <w:t>personerías municipales o distritales, a todos los niños, las niñas y adolescentes que se encuentren en condiciones de riesgo o vulnerabilidad.</w:t>
      </w:r>
    </w:p>
    <w:p w14:paraId="3B0ED6EB" w14:textId="1C5200AD" w:rsidR="00585967" w:rsidRPr="00585967" w:rsidRDefault="00585967" w:rsidP="00585967">
      <w:pPr>
        <w:jc w:val="both"/>
        <w:rPr>
          <w:rFonts w:ascii="Verdana" w:hAnsi="Verdana"/>
          <w:sz w:val="22"/>
          <w:szCs w:val="22"/>
        </w:rPr>
      </w:pPr>
      <w:r w:rsidRPr="00585967">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4357D3EE" w14:textId="77777777" w:rsidR="00585967" w:rsidRPr="00585967" w:rsidRDefault="00585967" w:rsidP="00585967">
      <w:pPr>
        <w:jc w:val="both"/>
        <w:rPr>
          <w:rFonts w:ascii="Verdana" w:hAnsi="Verdana"/>
          <w:sz w:val="22"/>
          <w:szCs w:val="22"/>
        </w:rPr>
      </w:pPr>
      <w:r w:rsidRPr="00585967">
        <w:rPr>
          <w:rFonts w:ascii="Verdana" w:hAnsi="Verdana"/>
          <w:sz w:val="22"/>
          <w:szCs w:val="22"/>
        </w:rPr>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p>
    <w:p w14:paraId="1B6A3425"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585967">
        <w:rPr>
          <w:rFonts w:ascii="Verdana" w:hAnsi="Verdana"/>
          <w:sz w:val="22"/>
          <w:szCs w:val="22"/>
        </w:rPr>
        <w:t>Ley,</w:t>
      </w:r>
      <w:proofErr w:type="gramEnd"/>
      <w:r w:rsidRPr="00585967">
        <w:rPr>
          <w:rFonts w:ascii="Verdana" w:hAnsi="Verdana"/>
          <w:sz w:val="22"/>
          <w:szCs w:val="22"/>
        </w:rPr>
        <w:t xml:space="preserve"> restablezcan a los niños, las niñas y los adolescentes el ejercicio pleno y efectivo de sus derechos.</w:t>
      </w:r>
    </w:p>
    <w:p w14:paraId="545F2B62" w14:textId="77777777" w:rsidR="00585967" w:rsidRPr="00585967" w:rsidRDefault="00585967" w:rsidP="00585967">
      <w:pPr>
        <w:jc w:val="both"/>
        <w:rPr>
          <w:rFonts w:ascii="Verdana" w:hAnsi="Verdana"/>
          <w:sz w:val="22"/>
          <w:szCs w:val="22"/>
        </w:rPr>
      </w:pPr>
      <w:r w:rsidRPr="00585967">
        <w:rPr>
          <w:rFonts w:ascii="Verdana" w:hAnsi="Verdana"/>
          <w:b/>
          <w:bCs/>
          <w:sz w:val="22"/>
          <w:szCs w:val="22"/>
          <w:u w:val="single"/>
        </w:rPr>
        <w:t>(2.2) </w:t>
      </w:r>
      <w:r w:rsidRPr="00585967">
        <w:rPr>
          <w:rFonts w:ascii="Verdana" w:hAnsi="Verdana"/>
          <w:sz w:val="22"/>
          <w:szCs w:val="22"/>
          <w:u w:val="single"/>
        </w:rPr>
        <w:t>Los términos para resolver el Proceso Administrativo de Restablecimiento de Derechos</w:t>
      </w:r>
    </w:p>
    <w:p w14:paraId="6210346D" w14:textId="45BF78ED" w:rsidR="00585967" w:rsidRPr="00585967" w:rsidRDefault="00585967" w:rsidP="00585967">
      <w:pPr>
        <w:jc w:val="both"/>
        <w:rPr>
          <w:rFonts w:ascii="Verdana" w:hAnsi="Verdana"/>
          <w:sz w:val="22"/>
          <w:szCs w:val="22"/>
        </w:rPr>
      </w:pPr>
      <w:r w:rsidRPr="00585967">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585967">
        <w:rPr>
          <w:rFonts w:ascii="Verdana" w:hAnsi="Verdana"/>
          <w:sz w:val="22"/>
          <w:szCs w:val="22"/>
        </w:rPr>
        <w:t>investigación</w:t>
      </w:r>
      <w:r w:rsidRPr="00585967">
        <w:rPr>
          <w:rFonts w:ascii="Verdana" w:hAnsi="Verdana"/>
          <w:sz w:val="22"/>
          <w:szCs w:val="22"/>
          <w:vertAlign w:val="subscript"/>
        </w:rPr>
        <w:t>[</w:t>
      </w:r>
      <w:proofErr w:type="gramEnd"/>
      <w:r w:rsidRPr="00585967">
        <w:rPr>
          <w:rFonts w:ascii="Verdana" w:hAnsi="Verdana"/>
          <w:sz w:val="22"/>
          <w:szCs w:val="22"/>
          <w:vertAlign w:val="subscript"/>
        </w:rPr>
        <w:t>1]</w:t>
      </w:r>
      <w:r w:rsidRPr="00585967">
        <w:rPr>
          <w:rFonts w:ascii="Verdana" w:hAnsi="Verdana"/>
          <w:sz w:val="22"/>
          <w:szCs w:val="22"/>
        </w:rPr>
        <w:t> y que el recurso de reposición que se presente contra el respectivo fallo deberá ser resuelto dentro de los diez (10) días siguientes al vencimiento del término para interponerlo.</w:t>
      </w:r>
    </w:p>
    <w:p w14:paraId="22B83408" w14:textId="77777777" w:rsidR="00585967" w:rsidRPr="00585967" w:rsidRDefault="00585967" w:rsidP="00585967">
      <w:pPr>
        <w:jc w:val="both"/>
        <w:rPr>
          <w:rFonts w:ascii="Verdana" w:hAnsi="Verdana"/>
          <w:sz w:val="22"/>
          <w:szCs w:val="22"/>
        </w:rPr>
      </w:pPr>
      <w:r w:rsidRPr="00585967">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0FB0E91B"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Excepcionalmente y por solicitud razonada del Defensor o Comisario de Familia, el </w:t>
      </w:r>
      <w:proofErr w:type="gramStart"/>
      <w:r w:rsidRPr="00585967">
        <w:rPr>
          <w:rFonts w:ascii="Verdana" w:hAnsi="Verdana"/>
          <w:sz w:val="22"/>
          <w:szCs w:val="22"/>
        </w:rPr>
        <w:t>Director Regional</w:t>
      </w:r>
      <w:proofErr w:type="gramEnd"/>
      <w:r w:rsidRPr="00585967">
        <w:rPr>
          <w:rFonts w:ascii="Verdana" w:hAnsi="Verdana"/>
          <w:sz w:val="22"/>
          <w:szCs w:val="22"/>
        </w:rPr>
        <w:t xml:space="preserve"> podrá ampliar el término para fallar la actuación administrativa hasta por dos (2) meses más, contados a partir del vencimiento de </w:t>
      </w:r>
      <w:proofErr w:type="gramStart"/>
      <w:r w:rsidRPr="00585967">
        <w:rPr>
          <w:rFonts w:ascii="Verdana" w:hAnsi="Verdana"/>
          <w:sz w:val="22"/>
          <w:szCs w:val="22"/>
        </w:rPr>
        <w:t>los cuatro iniciales</w:t>
      </w:r>
      <w:proofErr w:type="gramEnd"/>
      <w:r w:rsidRPr="00585967">
        <w:rPr>
          <w:rFonts w:ascii="Verdana" w:hAnsi="Verdana"/>
          <w:sz w:val="22"/>
          <w:szCs w:val="22"/>
        </w:rPr>
        <w:t>, sin que exista en ningún caso nueva prórroga.</w:t>
      </w:r>
    </w:p>
    <w:p w14:paraId="10EB6E41" w14:textId="214BBF80" w:rsidR="00585967" w:rsidRPr="00585967" w:rsidRDefault="00585967" w:rsidP="00585967">
      <w:pPr>
        <w:jc w:val="both"/>
        <w:rPr>
          <w:rFonts w:ascii="Verdana" w:hAnsi="Verdana"/>
          <w:sz w:val="22"/>
          <w:szCs w:val="22"/>
        </w:rPr>
      </w:pPr>
      <w:r w:rsidRPr="00585967">
        <w:rPr>
          <w:rFonts w:ascii="Verdana" w:hAnsi="Verdana"/>
          <w:sz w:val="22"/>
          <w:szCs w:val="22"/>
        </w:rPr>
        <w:lastRenderedPageBreak/>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32F164FE" w14:textId="77777777" w:rsidR="00585967" w:rsidRPr="00585967" w:rsidRDefault="00585967" w:rsidP="00585967">
      <w:pPr>
        <w:jc w:val="both"/>
        <w:rPr>
          <w:rFonts w:ascii="Verdana" w:hAnsi="Verdana"/>
          <w:sz w:val="22"/>
          <w:szCs w:val="22"/>
        </w:rPr>
      </w:pPr>
      <w:r w:rsidRPr="00585967">
        <w:rPr>
          <w:rFonts w:ascii="Verdana" w:hAnsi="Verdana"/>
          <w:sz w:val="22"/>
          <w:szCs w:val="22"/>
        </w:rPr>
        <w:t>Debe resaltarse que la ley no dio excepciones de ningún tipo atendiendo al principio normativo esencial de eficiencia y utilidad para garantizar a cabalidad la protección integral de los intereses y garantías de los niños, niñas y adolescentes.</w:t>
      </w:r>
    </w:p>
    <w:p w14:paraId="71BC32A5" w14:textId="77777777" w:rsidR="00585967" w:rsidRPr="00585967" w:rsidRDefault="00585967" w:rsidP="00585967">
      <w:pPr>
        <w:jc w:val="both"/>
        <w:rPr>
          <w:rFonts w:ascii="Verdana" w:hAnsi="Verdana"/>
          <w:sz w:val="22"/>
          <w:szCs w:val="22"/>
        </w:rPr>
      </w:pPr>
      <w:r w:rsidRPr="00585967">
        <w:rPr>
          <w:rFonts w:ascii="Verdana" w:hAnsi="Verdana"/>
          <w:b/>
          <w:bCs/>
          <w:sz w:val="22"/>
          <w:szCs w:val="22"/>
          <w:u w:val="single"/>
        </w:rPr>
        <w:t>(2.3) </w:t>
      </w:r>
      <w:r w:rsidRPr="00585967">
        <w:rPr>
          <w:rFonts w:ascii="Verdana" w:hAnsi="Verdana"/>
          <w:sz w:val="22"/>
          <w:szCs w:val="22"/>
          <w:u w:val="single"/>
        </w:rPr>
        <w:t>Pronunciamiento de la Corte Constitucional sobre el término que tiene el Defensor de Familia para resolver el Proceso Administrativo de Restablecimiento de Derechos</w:t>
      </w:r>
    </w:p>
    <w:p w14:paraId="5BEFE3FE"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Sobre </w:t>
      </w:r>
      <w:proofErr w:type="gramStart"/>
      <w:r w:rsidRPr="00585967">
        <w:rPr>
          <w:rFonts w:ascii="Verdana" w:hAnsi="Verdana"/>
          <w:sz w:val="22"/>
          <w:szCs w:val="22"/>
        </w:rPr>
        <w:t>éste</w:t>
      </w:r>
      <w:proofErr w:type="gramEnd"/>
      <w:r w:rsidRPr="00585967">
        <w:rPr>
          <w:rFonts w:ascii="Verdana" w:hAnsi="Verdana"/>
          <w:sz w:val="22"/>
          <w:szCs w:val="22"/>
        </w:rPr>
        <w:t xml:space="preserve"> asunto, la Corte </w:t>
      </w:r>
      <w:proofErr w:type="gramStart"/>
      <w:r w:rsidRPr="00585967">
        <w:rPr>
          <w:rFonts w:ascii="Verdana" w:hAnsi="Verdana"/>
          <w:sz w:val="22"/>
          <w:szCs w:val="22"/>
        </w:rPr>
        <w:t>Constitucional</w:t>
      </w:r>
      <w:r w:rsidRPr="00585967">
        <w:rPr>
          <w:rFonts w:ascii="Verdana" w:hAnsi="Verdana"/>
          <w:sz w:val="22"/>
          <w:szCs w:val="22"/>
          <w:vertAlign w:val="subscript"/>
        </w:rPr>
        <w:t>[</w:t>
      </w:r>
      <w:proofErr w:type="gramEnd"/>
      <w:r w:rsidRPr="00585967">
        <w:rPr>
          <w:rFonts w:ascii="Verdana" w:hAnsi="Verdana"/>
          <w:sz w:val="22"/>
          <w:szCs w:val="22"/>
          <w:vertAlign w:val="subscript"/>
        </w:rPr>
        <w:t>2]</w:t>
      </w:r>
      <w:r w:rsidRPr="00585967">
        <w:rPr>
          <w:rFonts w:ascii="Verdana" w:hAnsi="Verdana"/>
          <w:sz w:val="22"/>
          <w:szCs w:val="22"/>
        </w:rPr>
        <w:t> ha dicho que:</w:t>
      </w:r>
    </w:p>
    <w:p w14:paraId="1D0A7173" w14:textId="77777777" w:rsidR="00585967" w:rsidRPr="00585967" w:rsidRDefault="00585967" w:rsidP="00585967">
      <w:pPr>
        <w:jc w:val="both"/>
        <w:rPr>
          <w:rFonts w:ascii="Verdana" w:hAnsi="Verdana"/>
          <w:sz w:val="22"/>
          <w:szCs w:val="22"/>
        </w:rPr>
      </w:pPr>
      <w:r w:rsidRPr="00585967">
        <w:rPr>
          <w:rFonts w:ascii="Verdana" w:hAnsi="Verdana"/>
          <w:i/>
          <w:iCs/>
          <w:sz w:val="22"/>
          <w:szCs w:val="22"/>
        </w:rPr>
        <w:t>“La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 Juez de Familia para que, de oficio, adelante la actuación o el proceso respectivo.</w:t>
      </w:r>
    </w:p>
    <w:p w14:paraId="34AF0B04" w14:textId="7C0B3BE2" w:rsidR="00585967" w:rsidRPr="00585967" w:rsidRDefault="00585967" w:rsidP="00585967">
      <w:pPr>
        <w:jc w:val="both"/>
        <w:rPr>
          <w:rFonts w:ascii="Verdana" w:hAnsi="Verdana"/>
          <w:sz w:val="22"/>
          <w:szCs w:val="22"/>
        </w:rPr>
      </w:pPr>
      <w:r w:rsidRPr="00585967">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3A4661CF" w14:textId="77777777" w:rsidR="00585967" w:rsidRPr="00585967" w:rsidRDefault="00585967" w:rsidP="00585967">
      <w:pPr>
        <w:jc w:val="both"/>
        <w:rPr>
          <w:rFonts w:ascii="Verdana" w:hAnsi="Verdana"/>
          <w:sz w:val="22"/>
          <w:szCs w:val="22"/>
        </w:rPr>
      </w:pPr>
      <w:r w:rsidRPr="00585967">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3923155F" w14:textId="77777777" w:rsidR="00585967" w:rsidRPr="00585967" w:rsidRDefault="00585967" w:rsidP="00585967">
      <w:pPr>
        <w:jc w:val="both"/>
        <w:rPr>
          <w:rFonts w:ascii="Verdana" w:hAnsi="Verdana"/>
          <w:sz w:val="22"/>
          <w:szCs w:val="22"/>
        </w:rPr>
      </w:pPr>
      <w:r w:rsidRPr="00585967">
        <w:rPr>
          <w:rFonts w:ascii="Verdana" w:hAnsi="Verdana"/>
          <w:i/>
          <w:iCs/>
          <w:sz w:val="22"/>
          <w:szCs w:val="22"/>
        </w:rPr>
        <w:t xml:space="preserve">En el mismo sentido, también es razonable </w:t>
      </w:r>
      <w:proofErr w:type="gramStart"/>
      <w:r w:rsidRPr="00585967">
        <w:rPr>
          <w:rFonts w:ascii="Verdana" w:hAnsi="Verdana"/>
          <w:i/>
          <w:iCs/>
          <w:sz w:val="22"/>
          <w:szCs w:val="22"/>
        </w:rPr>
        <w:t>que</w:t>
      </w:r>
      <w:proofErr w:type="gramEnd"/>
      <w:r w:rsidRPr="00585967">
        <w:rPr>
          <w:rFonts w:ascii="Verdana" w:hAnsi="Verdana"/>
          <w:i/>
          <w:iCs/>
          <w:sz w:val="22"/>
          <w:szCs w:val="22"/>
        </w:rPr>
        <w:t xml:space="preserve"> si el funcionario administrativo competente incumple esos términos</w:t>
      </w:r>
      <w:r w:rsidRPr="00585967">
        <w:rPr>
          <w:rFonts w:ascii="Verdana" w:hAnsi="Verdana"/>
          <w:b/>
          <w:bCs/>
          <w:i/>
          <w:iCs/>
          <w:sz w:val="22"/>
          <w:szCs w:val="22"/>
        </w:rPr>
        <w:t>, </w:t>
      </w:r>
      <w:r w:rsidRPr="00585967">
        <w:rPr>
          <w:rFonts w:ascii="Verdana" w:hAnsi="Verdana"/>
          <w:i/>
          <w:iCs/>
          <w:sz w:val="22"/>
          <w:szCs w:val="22"/>
        </w:rPr>
        <w:t xml:space="preserve">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w:t>
      </w:r>
      <w:r w:rsidRPr="00585967">
        <w:rPr>
          <w:rFonts w:ascii="Verdana" w:hAnsi="Verdana"/>
          <w:i/>
          <w:iCs/>
          <w:sz w:val="22"/>
          <w:szCs w:val="22"/>
        </w:rPr>
        <w:lastRenderedPageBreak/>
        <w:t>procedimentales respectivas, los interesados podrán hacer valer sus derechos y ejercer el derecho de defensa.</w:t>
      </w:r>
    </w:p>
    <w:p w14:paraId="11F7A8D1" w14:textId="7053EB49" w:rsidR="00585967" w:rsidRPr="00585967" w:rsidRDefault="00585967" w:rsidP="00585967">
      <w:pPr>
        <w:jc w:val="both"/>
        <w:rPr>
          <w:rFonts w:ascii="Verdana" w:hAnsi="Verdana"/>
          <w:sz w:val="22"/>
          <w:szCs w:val="22"/>
        </w:rPr>
      </w:pPr>
      <w:r w:rsidRPr="00585967">
        <w:rPr>
          <w:rFonts w:ascii="Verdana" w:hAnsi="Verdana"/>
          <w:i/>
          <w:iCs/>
          <w:sz w:val="22"/>
          <w:szCs w:val="22"/>
        </w:rPr>
        <w:t>Por consiguiente, dicha expresión no vulnera el derecho de defensa consagrado en el Art. 29 de la Constitución y será declarada exequible, por el cargo planteado".</w:t>
      </w:r>
    </w:p>
    <w:p w14:paraId="65142274" w14:textId="77777777" w:rsidR="00585967" w:rsidRPr="00585967" w:rsidRDefault="00585967" w:rsidP="00585967">
      <w:pPr>
        <w:jc w:val="both"/>
        <w:rPr>
          <w:rFonts w:ascii="Verdana" w:hAnsi="Verdana"/>
          <w:sz w:val="22"/>
          <w:szCs w:val="22"/>
        </w:rPr>
      </w:pPr>
      <w:r w:rsidRPr="00585967">
        <w:rPr>
          <w:rFonts w:ascii="Verdana" w:hAnsi="Verdana"/>
          <w:b/>
          <w:bCs/>
          <w:sz w:val="22"/>
          <w:szCs w:val="22"/>
          <w:u w:val="single"/>
        </w:rPr>
        <w:t>(2.4) </w:t>
      </w:r>
      <w:r w:rsidRPr="00585967">
        <w:rPr>
          <w:rFonts w:ascii="Verdana" w:hAnsi="Verdana"/>
          <w:sz w:val="22"/>
          <w:szCs w:val="22"/>
          <w:u w:val="single"/>
        </w:rPr>
        <w:t>Preparación para el egreso del ICBF de los adolescentes que cumplen la mayoría de edad bajo protección del ICBF</w:t>
      </w:r>
    </w:p>
    <w:p w14:paraId="507AB5C0" w14:textId="3880D614" w:rsidR="00585967" w:rsidRPr="00585967" w:rsidRDefault="00585967" w:rsidP="00585967">
      <w:pPr>
        <w:jc w:val="both"/>
        <w:rPr>
          <w:rFonts w:ascii="Verdana" w:hAnsi="Verdana"/>
          <w:sz w:val="22"/>
          <w:szCs w:val="22"/>
        </w:rPr>
      </w:pPr>
      <w:r w:rsidRPr="00585967">
        <w:rPr>
          <w:rFonts w:ascii="Verdana" w:hAnsi="Verdana"/>
          <w:sz w:val="22"/>
          <w:szCs w:val="22"/>
        </w:rPr>
        <w:t xml:space="preserve">De acuerdo con el artículo 7 de la Ley 1098 de 2006, el cumplimiento de los objetivos de las modalidades de atención del </w:t>
      </w:r>
      <w:proofErr w:type="gramStart"/>
      <w:r w:rsidRPr="00585967">
        <w:rPr>
          <w:rFonts w:ascii="Verdana" w:hAnsi="Verdana"/>
          <w:sz w:val="22"/>
          <w:szCs w:val="22"/>
        </w:rPr>
        <w:t>ICBF,</w:t>
      </w:r>
      <w:proofErr w:type="gramEnd"/>
      <w:r w:rsidRPr="00585967">
        <w:rPr>
          <w:rFonts w:ascii="Verdana" w:hAnsi="Verdana"/>
          <w:sz w:val="22"/>
          <w:szCs w:val="22"/>
        </w:rPr>
        <w:t xml:space="preserve"> se basa en la protección integral de los niños, niñas y adolescentes.</w:t>
      </w:r>
    </w:p>
    <w:p w14:paraId="0E9B5906" w14:textId="77777777" w:rsidR="00585967" w:rsidRPr="00585967" w:rsidRDefault="00585967" w:rsidP="00585967">
      <w:pPr>
        <w:jc w:val="both"/>
        <w:rPr>
          <w:rFonts w:ascii="Verdana" w:hAnsi="Verdana"/>
          <w:sz w:val="22"/>
          <w:szCs w:val="22"/>
        </w:rPr>
      </w:pPr>
      <w:r w:rsidRPr="00585967">
        <w:rPr>
          <w:rFonts w:ascii="Verdana" w:hAnsi="Verdana"/>
          <w:sz w:val="22"/>
          <w:szCs w:val="22"/>
        </w:rPr>
        <w:t>La misma ley estableció una serie de medidas tendientes a garantizar la protección integral de la niñez y la adolescencia, las cuales deben ser adoptadas en el desarrollo del PARD a partir de la valoración de la situación en que se encuentre el niño, niña o adolescente y la correspondiente verificación de derechos.</w:t>
      </w:r>
    </w:p>
    <w:p w14:paraId="78B2FF96"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En razón a lo anterior, la Autoridad Administrativa debe continuar con base en los conceptos emitidos por los equipos interdisciplinarios y los programas del ICBF, garantizando que los adolescentes que cumplen la mayoría de edad en </w:t>
      </w:r>
      <w:proofErr w:type="gramStart"/>
      <w:r w:rsidRPr="00585967">
        <w:rPr>
          <w:rFonts w:ascii="Verdana" w:hAnsi="Verdana"/>
          <w:sz w:val="22"/>
          <w:szCs w:val="22"/>
        </w:rPr>
        <w:t>protección,</w:t>
      </w:r>
      <w:proofErr w:type="gramEnd"/>
      <w:r w:rsidRPr="00585967">
        <w:rPr>
          <w:rFonts w:ascii="Verdana" w:hAnsi="Verdana"/>
          <w:sz w:val="22"/>
          <w:szCs w:val="22"/>
        </w:rPr>
        <w:t xml:space="preserve"> podrán tener un desarrollo social, laboral y productivo de acuerdo con el contexto y la realidad propia de cada adolescente que se prepara para egresar del entorno del ICBF, independientemente de la medida de Restablecimiento de Derechos que tenga.</w:t>
      </w:r>
    </w:p>
    <w:p w14:paraId="0604177B" w14:textId="7A98B609" w:rsidR="00585967" w:rsidRPr="00585967" w:rsidRDefault="00585967" w:rsidP="00585967">
      <w:pPr>
        <w:pStyle w:val="Prrafodelista"/>
        <w:numPr>
          <w:ilvl w:val="0"/>
          <w:numId w:val="4"/>
        </w:numPr>
        <w:jc w:val="both"/>
        <w:rPr>
          <w:rFonts w:ascii="Verdana" w:hAnsi="Verdana"/>
          <w:sz w:val="22"/>
          <w:szCs w:val="22"/>
        </w:rPr>
      </w:pPr>
      <w:r w:rsidRPr="00585967">
        <w:rPr>
          <w:rFonts w:ascii="Verdana" w:hAnsi="Verdana"/>
          <w:b/>
          <w:bCs/>
          <w:sz w:val="22"/>
          <w:szCs w:val="22"/>
        </w:rPr>
        <w:t>CONCLUSIONES</w:t>
      </w:r>
    </w:p>
    <w:p w14:paraId="66057211" w14:textId="4E238D46" w:rsidR="00585967" w:rsidRPr="00585967" w:rsidRDefault="00585967" w:rsidP="00585967">
      <w:pPr>
        <w:jc w:val="both"/>
        <w:rPr>
          <w:rFonts w:ascii="Verdana" w:hAnsi="Verdana"/>
          <w:sz w:val="22"/>
          <w:szCs w:val="22"/>
        </w:rPr>
      </w:pPr>
      <w:r w:rsidRPr="00585967">
        <w:rPr>
          <w:rFonts w:ascii="Verdana" w:hAnsi="Verdana"/>
          <w:b/>
          <w:bCs/>
          <w:sz w:val="22"/>
          <w:szCs w:val="22"/>
        </w:rPr>
        <w:t>Primera. </w:t>
      </w:r>
      <w:r w:rsidRPr="00585967">
        <w:rPr>
          <w:rFonts w:ascii="Verdana" w:hAnsi="Verdana"/>
          <w:sz w:val="22"/>
          <w:szCs w:val="22"/>
        </w:rPr>
        <w:t>Corresponde al Defensor de Familia, definir la situación jurídica de un niño, niña o adolescente dentro de los términos previstos en la Ley 1098 de 2006, profiriendo la medida de restablecimiento de derechos que sea más conveniente para el menor de edad que tiene sus derechos amenazados, inobservados o vulnerados sin referentes familiares.</w:t>
      </w:r>
    </w:p>
    <w:p w14:paraId="79F5F2B4"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Segunda: </w:t>
      </w:r>
      <w:r w:rsidRPr="00585967">
        <w:rPr>
          <w:rFonts w:ascii="Verdana" w:hAnsi="Verdana"/>
          <w:sz w:val="22"/>
          <w:szCs w:val="22"/>
        </w:rPr>
        <w:t xml:space="preserve">El PARD ha sido concebido en nuestro ordenamiento jurídico nacional para que las autoridades responsables, gestionen oportunamente las acciones que garanticen la protección y el restablecimiento de los derechos de niños, niñas y adolescentes </w:t>
      </w:r>
      <w:proofErr w:type="gramStart"/>
      <w:r w:rsidRPr="00585967">
        <w:rPr>
          <w:rFonts w:ascii="Verdana" w:hAnsi="Verdana"/>
          <w:sz w:val="22"/>
          <w:szCs w:val="22"/>
        </w:rPr>
        <w:t>y</w:t>
      </w:r>
      <w:proofErr w:type="gramEnd"/>
      <w:r w:rsidRPr="00585967">
        <w:rPr>
          <w:rFonts w:ascii="Verdana" w:hAnsi="Verdana"/>
          <w:sz w:val="22"/>
          <w:szCs w:val="22"/>
        </w:rPr>
        <w:t xml:space="preserve"> por ende, su seguimiento permanente, que dé lugar a su ejecución y cumplimiento.</w:t>
      </w:r>
    </w:p>
    <w:p w14:paraId="6B6CDF3F"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Tercera: </w:t>
      </w:r>
      <w:r w:rsidRPr="00585967">
        <w:rPr>
          <w:rFonts w:ascii="Verdana" w:hAnsi="Verdana"/>
          <w:sz w:val="22"/>
          <w:szCs w:val="22"/>
        </w:rPr>
        <w:t xml:space="preserve">Es deber de la Autoridad Administrativa seguir conociendo del PARD de los niños, niñas y adolescentes que cumplen su mayoría de edad estando en protección y resulta imprescindible que las Defensorías de Familia definan la situación jurídica de los menores de edad y adelanten las acciones tendientes a </w:t>
      </w:r>
      <w:r w:rsidRPr="00585967">
        <w:rPr>
          <w:rFonts w:ascii="Verdana" w:hAnsi="Verdana"/>
          <w:sz w:val="22"/>
          <w:szCs w:val="22"/>
        </w:rPr>
        <w:lastRenderedPageBreak/>
        <w:t>la preparación y elaboración de un proyecto de vida de los adolescentes, con miras al eventual egreso de los programas con que son atendidos en el Instituto, con el apoyo de todos los actores del Sistema Nacional de Bienestar Familiar.</w:t>
      </w:r>
    </w:p>
    <w:p w14:paraId="4ABD5777" w14:textId="528FF694" w:rsidR="00585967" w:rsidRPr="00585967" w:rsidRDefault="00585967" w:rsidP="00585967">
      <w:pPr>
        <w:jc w:val="both"/>
        <w:rPr>
          <w:rFonts w:ascii="Verdana" w:hAnsi="Verdana"/>
          <w:sz w:val="22"/>
          <w:szCs w:val="22"/>
        </w:rPr>
      </w:pPr>
      <w:r w:rsidRPr="00585967">
        <w:rPr>
          <w:rFonts w:ascii="Verdana" w:hAnsi="Verdana"/>
          <w:sz w:val="22"/>
          <w:szCs w:val="22"/>
        </w:rPr>
        <w:t xml:space="preserve">El presente </w:t>
      </w:r>
      <w:proofErr w:type="gramStart"/>
      <w:r w:rsidRPr="00585967">
        <w:rPr>
          <w:rFonts w:ascii="Verdana" w:hAnsi="Verdana"/>
          <w:sz w:val="22"/>
          <w:szCs w:val="22"/>
        </w:rPr>
        <w:t>concepto</w:t>
      </w:r>
      <w:r w:rsidRPr="00585967">
        <w:rPr>
          <w:rFonts w:ascii="Verdana" w:hAnsi="Verdana"/>
          <w:sz w:val="22"/>
          <w:szCs w:val="22"/>
          <w:vertAlign w:val="subscript"/>
        </w:rPr>
        <w:t>[</w:t>
      </w:r>
      <w:proofErr w:type="gramEnd"/>
      <w:r w:rsidRPr="00585967">
        <w:rPr>
          <w:rFonts w:ascii="Verdana" w:hAnsi="Verdana"/>
          <w:sz w:val="22"/>
          <w:szCs w:val="22"/>
          <w:vertAlign w:val="subscript"/>
        </w:rPr>
        <w:t>3]</w:t>
      </w:r>
      <w:r w:rsidRPr="00585967">
        <w:rPr>
          <w:rFonts w:ascii="Verdana" w:hAnsi="Verdana"/>
          <w:sz w:val="22"/>
          <w:szCs w:val="22"/>
        </w:rPr>
        <w:t xml:space="preserve"> no es de obligatorio cumplimiento o ejecución para particulares o agentes externos, de conformidad con lo establecido 1755 de 2015. No </w:t>
      </w:r>
      <w:proofErr w:type="gramStart"/>
      <w:r w:rsidRPr="00585967">
        <w:rPr>
          <w:rFonts w:ascii="Verdana" w:hAnsi="Verdana"/>
          <w:sz w:val="22"/>
          <w:szCs w:val="22"/>
        </w:rPr>
        <w:t>obstante</w:t>
      </w:r>
      <w:proofErr w:type="gramEnd"/>
      <w:r w:rsidRPr="00585967">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CD15981" w14:textId="77777777" w:rsidR="00585967" w:rsidRPr="00585967" w:rsidRDefault="00585967" w:rsidP="00585967">
      <w:pPr>
        <w:jc w:val="both"/>
        <w:rPr>
          <w:rFonts w:ascii="Verdana" w:hAnsi="Verdana"/>
          <w:sz w:val="22"/>
          <w:szCs w:val="22"/>
        </w:rPr>
      </w:pPr>
      <w:r w:rsidRPr="00585967">
        <w:rPr>
          <w:rFonts w:ascii="Verdana" w:hAnsi="Verdana"/>
          <w:sz w:val="22"/>
          <w:szCs w:val="22"/>
        </w:rPr>
        <w:t>Cordialmente,</w:t>
      </w:r>
    </w:p>
    <w:p w14:paraId="66638B91"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LUZ KARIME FERNANDEZ CASTILLO</w:t>
      </w:r>
    </w:p>
    <w:p w14:paraId="13EE347C" w14:textId="77777777" w:rsidR="00585967" w:rsidRPr="00585967" w:rsidRDefault="00585967" w:rsidP="00585967">
      <w:pPr>
        <w:jc w:val="both"/>
        <w:rPr>
          <w:rFonts w:ascii="Verdana" w:hAnsi="Verdana"/>
          <w:sz w:val="22"/>
          <w:szCs w:val="22"/>
        </w:rPr>
      </w:pPr>
      <w:r w:rsidRPr="00585967">
        <w:rPr>
          <w:rFonts w:ascii="Verdana" w:hAnsi="Verdana"/>
          <w:sz w:val="22"/>
          <w:szCs w:val="22"/>
        </w:rPr>
        <w:t>Jefe Oficina Asesora Jurídica</w:t>
      </w:r>
    </w:p>
    <w:p w14:paraId="0A461E9D" w14:textId="77777777" w:rsidR="00585967" w:rsidRDefault="00585967" w:rsidP="00585967">
      <w:pPr>
        <w:jc w:val="both"/>
        <w:rPr>
          <w:rFonts w:ascii="Verdana" w:hAnsi="Verdana"/>
          <w:b/>
          <w:bCs/>
          <w:sz w:val="22"/>
          <w:szCs w:val="22"/>
        </w:rPr>
      </w:pPr>
    </w:p>
    <w:p w14:paraId="346047B9" w14:textId="7F841C7F" w:rsidR="00585967" w:rsidRPr="00585967" w:rsidRDefault="00585967" w:rsidP="00585967">
      <w:pPr>
        <w:jc w:val="both"/>
        <w:rPr>
          <w:rFonts w:ascii="Verdana" w:hAnsi="Verdana"/>
          <w:b/>
          <w:bCs/>
          <w:sz w:val="22"/>
          <w:szCs w:val="22"/>
        </w:rPr>
      </w:pPr>
      <w:r w:rsidRPr="00585967">
        <w:rPr>
          <w:rFonts w:ascii="Verdana" w:hAnsi="Verdana"/>
          <w:b/>
          <w:bCs/>
          <w:sz w:val="22"/>
          <w:szCs w:val="22"/>
        </w:rPr>
        <w:t>Notas Pie de Pagina</w:t>
      </w:r>
    </w:p>
    <w:p w14:paraId="6CAC5367" w14:textId="47F04496" w:rsidR="00585967" w:rsidRPr="00585967" w:rsidRDefault="00585967" w:rsidP="00585967">
      <w:pPr>
        <w:pStyle w:val="Prrafodelista"/>
        <w:numPr>
          <w:ilvl w:val="0"/>
          <w:numId w:val="2"/>
        </w:numPr>
        <w:jc w:val="both"/>
        <w:rPr>
          <w:rFonts w:ascii="Verdana" w:hAnsi="Verdana"/>
          <w:sz w:val="22"/>
          <w:szCs w:val="22"/>
        </w:rPr>
      </w:pPr>
      <w:r w:rsidRPr="00585967">
        <w:rPr>
          <w:rFonts w:ascii="Verdana" w:hAnsi="Verdana"/>
          <w:sz w:val="22"/>
          <w:szCs w:val="22"/>
        </w:rPr>
        <w:t>Ley 1098 de 2006</w:t>
      </w:r>
    </w:p>
    <w:p w14:paraId="2A089666" w14:textId="03F78E0D" w:rsidR="00585967" w:rsidRPr="00585967" w:rsidRDefault="00585967" w:rsidP="00585967">
      <w:pPr>
        <w:pStyle w:val="Prrafodelista"/>
        <w:numPr>
          <w:ilvl w:val="0"/>
          <w:numId w:val="2"/>
        </w:numPr>
        <w:jc w:val="both"/>
        <w:rPr>
          <w:rFonts w:ascii="Verdana" w:hAnsi="Verdana"/>
          <w:sz w:val="22"/>
          <w:szCs w:val="22"/>
        </w:rPr>
      </w:pPr>
      <w:r w:rsidRPr="00585967">
        <w:rPr>
          <w:rFonts w:ascii="Verdana" w:hAnsi="Verdana"/>
          <w:sz w:val="22"/>
          <w:szCs w:val="22"/>
        </w:rPr>
        <w:t>Sentencia C - 228 de 2008</w:t>
      </w:r>
    </w:p>
    <w:p w14:paraId="267E83D3" w14:textId="1FE80FE8" w:rsidR="00585967" w:rsidRPr="00585967" w:rsidRDefault="00585967" w:rsidP="00585967">
      <w:pPr>
        <w:pStyle w:val="Prrafodelista"/>
        <w:numPr>
          <w:ilvl w:val="0"/>
          <w:numId w:val="2"/>
        </w:numPr>
        <w:jc w:val="both"/>
        <w:rPr>
          <w:rFonts w:ascii="Verdana" w:hAnsi="Verdana"/>
          <w:sz w:val="22"/>
          <w:szCs w:val="22"/>
        </w:rPr>
      </w:pPr>
      <w:r w:rsidRPr="00585967">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w:t>
      </w:r>
      <w:r w:rsidRPr="00585967">
        <w:rPr>
          <w:rFonts w:ascii="Verdana" w:hAnsi="Verdana"/>
          <w:sz w:val="22"/>
          <w:szCs w:val="22"/>
        </w:rPr>
        <w:lastRenderedPageBreak/>
        <w:t>acto administrativo, de una naturaleza igual o similar a las llamadas circulares o instrucciones de servicio”. Corte Constitucional, Sentencia C - 877 de 2000. M.P Antonio Barrera Carbonell.</w:t>
      </w:r>
    </w:p>
    <w:p w14:paraId="61B70E49" w14:textId="77777777" w:rsidR="00A724C4" w:rsidRPr="00585967" w:rsidRDefault="00A724C4" w:rsidP="00585967">
      <w:pPr>
        <w:jc w:val="both"/>
        <w:rPr>
          <w:rFonts w:ascii="Verdana" w:hAnsi="Verdana"/>
          <w:sz w:val="22"/>
          <w:szCs w:val="22"/>
        </w:rPr>
      </w:pPr>
    </w:p>
    <w:sectPr w:rsidR="00A724C4" w:rsidRPr="005859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F2995"/>
    <w:multiLevelType w:val="hybridMultilevel"/>
    <w:tmpl w:val="0B3672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7E65131"/>
    <w:multiLevelType w:val="hybridMultilevel"/>
    <w:tmpl w:val="19845226"/>
    <w:lvl w:ilvl="0" w:tplc="7294018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1887227"/>
    <w:multiLevelType w:val="hybridMultilevel"/>
    <w:tmpl w:val="BBC86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9AB0D6D"/>
    <w:multiLevelType w:val="hybridMultilevel"/>
    <w:tmpl w:val="75AA6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570789">
    <w:abstractNumId w:val="0"/>
  </w:num>
  <w:num w:numId="2" w16cid:durableId="2078477438">
    <w:abstractNumId w:val="2"/>
  </w:num>
  <w:num w:numId="3" w16cid:durableId="464852812">
    <w:abstractNumId w:val="3"/>
  </w:num>
  <w:num w:numId="4" w16cid:durableId="83087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F2"/>
    <w:rsid w:val="00243CB4"/>
    <w:rsid w:val="00585967"/>
    <w:rsid w:val="00A724C4"/>
    <w:rsid w:val="00AB4DF2"/>
    <w:rsid w:val="00D41C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E493"/>
  <w15:chartTrackingRefBased/>
  <w15:docId w15:val="{986860B4-0A0E-40DD-BAAA-440DD087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4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4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4D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4D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4D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4D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4D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4D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4D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4D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4D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4D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4D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4D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4D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4D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4D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4DF2"/>
    <w:rPr>
      <w:rFonts w:eastAsiaTheme="majorEastAsia" w:cstheme="majorBidi"/>
      <w:color w:val="272727" w:themeColor="text1" w:themeTint="D8"/>
    </w:rPr>
  </w:style>
  <w:style w:type="paragraph" w:styleId="Ttulo">
    <w:name w:val="Title"/>
    <w:basedOn w:val="Normal"/>
    <w:next w:val="Normal"/>
    <w:link w:val="TtuloCar"/>
    <w:uiPriority w:val="10"/>
    <w:qFormat/>
    <w:rsid w:val="00AB4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4D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4D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4D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4DF2"/>
    <w:pPr>
      <w:spacing w:before="160"/>
      <w:jc w:val="center"/>
    </w:pPr>
    <w:rPr>
      <w:i/>
      <w:iCs/>
      <w:color w:val="404040" w:themeColor="text1" w:themeTint="BF"/>
    </w:rPr>
  </w:style>
  <w:style w:type="character" w:customStyle="1" w:styleId="CitaCar">
    <w:name w:val="Cita Car"/>
    <w:basedOn w:val="Fuentedeprrafopredeter"/>
    <w:link w:val="Cita"/>
    <w:uiPriority w:val="29"/>
    <w:rsid w:val="00AB4DF2"/>
    <w:rPr>
      <w:i/>
      <w:iCs/>
      <w:color w:val="404040" w:themeColor="text1" w:themeTint="BF"/>
    </w:rPr>
  </w:style>
  <w:style w:type="paragraph" w:styleId="Prrafodelista">
    <w:name w:val="List Paragraph"/>
    <w:basedOn w:val="Normal"/>
    <w:uiPriority w:val="34"/>
    <w:qFormat/>
    <w:rsid w:val="00AB4DF2"/>
    <w:pPr>
      <w:ind w:left="720"/>
      <w:contextualSpacing/>
    </w:pPr>
  </w:style>
  <w:style w:type="character" w:styleId="nfasisintenso">
    <w:name w:val="Intense Emphasis"/>
    <w:basedOn w:val="Fuentedeprrafopredeter"/>
    <w:uiPriority w:val="21"/>
    <w:qFormat/>
    <w:rsid w:val="00AB4DF2"/>
    <w:rPr>
      <w:i/>
      <w:iCs/>
      <w:color w:val="0F4761" w:themeColor="accent1" w:themeShade="BF"/>
    </w:rPr>
  </w:style>
  <w:style w:type="paragraph" w:styleId="Citadestacada">
    <w:name w:val="Intense Quote"/>
    <w:basedOn w:val="Normal"/>
    <w:next w:val="Normal"/>
    <w:link w:val="CitadestacadaCar"/>
    <w:uiPriority w:val="30"/>
    <w:qFormat/>
    <w:rsid w:val="00AB4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4DF2"/>
    <w:rPr>
      <w:i/>
      <w:iCs/>
      <w:color w:val="0F4761" w:themeColor="accent1" w:themeShade="BF"/>
    </w:rPr>
  </w:style>
  <w:style w:type="character" w:styleId="Referenciaintensa">
    <w:name w:val="Intense Reference"/>
    <w:basedOn w:val="Fuentedeprrafopredeter"/>
    <w:uiPriority w:val="32"/>
    <w:qFormat/>
    <w:rsid w:val="00AB4DF2"/>
    <w:rPr>
      <w:b/>
      <w:bCs/>
      <w:smallCaps/>
      <w:color w:val="0F4761" w:themeColor="accent1" w:themeShade="BF"/>
      <w:spacing w:val="5"/>
    </w:rPr>
  </w:style>
  <w:style w:type="character" w:styleId="Hipervnculo">
    <w:name w:val="Hyperlink"/>
    <w:basedOn w:val="Fuentedeprrafopredeter"/>
    <w:uiPriority w:val="99"/>
    <w:unhideWhenUsed/>
    <w:rsid w:val="00585967"/>
    <w:rPr>
      <w:color w:val="467886" w:themeColor="hyperlink"/>
      <w:u w:val="single"/>
    </w:rPr>
  </w:style>
  <w:style w:type="character" w:styleId="Mencinsinresolver">
    <w:name w:val="Unresolved Mention"/>
    <w:basedOn w:val="Fuentedeprrafopredeter"/>
    <w:uiPriority w:val="99"/>
    <w:semiHidden/>
    <w:unhideWhenUsed/>
    <w:rsid w:val="0058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EE534-4DD8-432E-93CF-BABF15E2C7A4}"/>
</file>

<file path=customXml/itemProps2.xml><?xml version="1.0" encoding="utf-8"?>
<ds:datastoreItem xmlns:ds="http://schemas.openxmlformats.org/officeDocument/2006/customXml" ds:itemID="{EC6868ED-DFFB-4190-8287-4D384B6C8C15}"/>
</file>

<file path=customXml/itemProps3.xml><?xml version="1.0" encoding="utf-8"?>
<ds:datastoreItem xmlns:ds="http://schemas.openxmlformats.org/officeDocument/2006/customXml" ds:itemID="{2EF2C7B1-C6DD-483A-B74C-270F44A71B8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1889</Words>
  <Characters>10393</Characters>
  <Application>Microsoft Office Word</Application>
  <DocSecurity>0</DocSecurity>
  <Lines>86</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2026-05-19T04:29:00Z</dcterms:created>
  <dcterms:modified xsi:type="dcterms:W3CDTF">2026-05-19T04:31:00Z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