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6F97" w14:textId="77777777" w:rsidR="00211563" w:rsidRPr="00211563" w:rsidRDefault="00211563" w:rsidP="00211563">
      <w:pPr>
        <w:spacing w:line="240" w:lineRule="auto"/>
        <w:jc w:val="center"/>
        <w:rPr>
          <w:rFonts w:ascii="Verdana" w:hAnsi="Verdana"/>
          <w:sz w:val="22"/>
          <w:szCs w:val="22"/>
        </w:rPr>
      </w:pPr>
      <w:r w:rsidRPr="00211563">
        <w:rPr>
          <w:rFonts w:ascii="Verdana" w:hAnsi="Verdana"/>
          <w:b/>
          <w:bCs/>
          <w:sz w:val="22"/>
          <w:szCs w:val="22"/>
        </w:rPr>
        <w:t>CONCEPTO 68 DE 2015</w:t>
      </w:r>
    </w:p>
    <w:p w14:paraId="6D43F182" w14:textId="77777777" w:rsidR="00211563" w:rsidRPr="00211563" w:rsidRDefault="00211563" w:rsidP="00211563">
      <w:pPr>
        <w:spacing w:line="240" w:lineRule="auto"/>
        <w:jc w:val="center"/>
        <w:rPr>
          <w:rFonts w:ascii="Verdana" w:hAnsi="Verdana"/>
          <w:sz w:val="22"/>
          <w:szCs w:val="22"/>
        </w:rPr>
      </w:pPr>
      <w:r w:rsidRPr="00211563">
        <w:rPr>
          <w:rFonts w:ascii="Verdana" w:hAnsi="Verdana"/>
          <w:sz w:val="22"/>
          <w:szCs w:val="22"/>
        </w:rPr>
        <w:t>(junio 9)</w:t>
      </w:r>
    </w:p>
    <w:p w14:paraId="09F2BB67" w14:textId="77777777" w:rsidR="00211563" w:rsidRPr="00211563" w:rsidRDefault="00211563" w:rsidP="00211563">
      <w:pPr>
        <w:spacing w:line="240" w:lineRule="auto"/>
        <w:jc w:val="center"/>
        <w:rPr>
          <w:rFonts w:ascii="Verdana" w:hAnsi="Verdana"/>
          <w:sz w:val="22"/>
          <w:szCs w:val="22"/>
        </w:rPr>
      </w:pPr>
      <w:r w:rsidRPr="00211563">
        <w:rPr>
          <w:rFonts w:ascii="Verdana" w:hAnsi="Verdana"/>
          <w:b/>
          <w:bCs/>
          <w:sz w:val="22"/>
          <w:szCs w:val="22"/>
        </w:rPr>
        <w:t>INSTITUTO COLOMBIANO DE BIENESTAR FAMILIAR – ICBF</w:t>
      </w:r>
    </w:p>
    <w:p w14:paraId="4CB8641C" w14:textId="77777777" w:rsidR="00211563" w:rsidRDefault="00211563" w:rsidP="00211563">
      <w:pPr>
        <w:spacing w:line="240" w:lineRule="auto"/>
        <w:jc w:val="both"/>
        <w:rPr>
          <w:rFonts w:ascii="Verdana" w:hAnsi="Verdana"/>
          <w:sz w:val="22"/>
          <w:szCs w:val="22"/>
        </w:rPr>
      </w:pPr>
    </w:p>
    <w:p w14:paraId="57C1018D" w14:textId="06A03FB3"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PARA:</w:t>
      </w:r>
      <w:r>
        <w:rPr>
          <w:rFonts w:ascii="Verdana" w:hAnsi="Verdana"/>
          <w:b/>
          <w:bCs/>
          <w:sz w:val="22"/>
          <w:szCs w:val="22"/>
        </w:rPr>
        <w:t xml:space="preserve"> </w:t>
      </w:r>
      <w:proofErr w:type="gramStart"/>
      <w:r w:rsidRPr="00211563">
        <w:rPr>
          <w:rFonts w:ascii="Verdana" w:hAnsi="Verdana"/>
          <w:sz w:val="22"/>
          <w:szCs w:val="22"/>
        </w:rPr>
        <w:t>Subdirectora</w:t>
      </w:r>
      <w:proofErr w:type="gramEnd"/>
      <w:r w:rsidRPr="00211563">
        <w:rPr>
          <w:rFonts w:ascii="Verdana" w:hAnsi="Verdana"/>
          <w:sz w:val="22"/>
          <w:szCs w:val="22"/>
        </w:rPr>
        <w:t xml:space="preserve"> de Restablecimiento de Derechos</w:t>
      </w:r>
    </w:p>
    <w:p w14:paraId="1282F2FF" w14:textId="2144410B" w:rsidR="00211563" w:rsidRDefault="00211563" w:rsidP="00211563">
      <w:pPr>
        <w:spacing w:line="240" w:lineRule="auto"/>
        <w:jc w:val="both"/>
        <w:rPr>
          <w:rFonts w:ascii="Verdana" w:hAnsi="Verdana"/>
          <w:sz w:val="22"/>
          <w:szCs w:val="22"/>
        </w:rPr>
      </w:pPr>
      <w:r w:rsidRPr="00211563">
        <w:rPr>
          <w:rFonts w:ascii="Verdana" w:hAnsi="Verdana"/>
          <w:b/>
          <w:bCs/>
          <w:sz w:val="22"/>
          <w:szCs w:val="22"/>
        </w:rPr>
        <w:t>ASUNTO:</w:t>
      </w:r>
      <w:r>
        <w:rPr>
          <w:rFonts w:ascii="Verdana" w:hAnsi="Verdana"/>
          <w:sz w:val="22"/>
          <w:szCs w:val="22"/>
        </w:rPr>
        <w:t xml:space="preserve"> </w:t>
      </w:r>
      <w:r w:rsidRPr="00211563">
        <w:rPr>
          <w:rFonts w:ascii="Verdana" w:hAnsi="Verdana"/>
          <w:sz w:val="22"/>
          <w:szCs w:val="22"/>
        </w:rPr>
        <w:t>Solicitud de concepto jurídico relacionado con convivencia escolar</w:t>
      </w:r>
    </w:p>
    <w:p w14:paraId="4D1CAA29" w14:textId="1025BAFB"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do 2012, se responde la solicitud de concepto definitivo sobre el caso en cuestión, teniendo en cuenta el concepto técnico proferido por la Dirección de protección, en los términos que siguen:</w:t>
      </w:r>
    </w:p>
    <w:p w14:paraId="5FB8B44B"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1. PROBLEMA JURÍDICO</w:t>
      </w:r>
    </w:p>
    <w:p w14:paraId="4BE99370" w14:textId="541D7F46"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¿Puede el Defensor de Familia adelantar tos trámites correspondientes para la atención de los casos que se presenten en el marco de la convivencia escolar, teniendo en cuenta lo reglado por la Ley 1620 de 2013?</w:t>
      </w:r>
    </w:p>
    <w:p w14:paraId="5ACA02A2"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2. ANÁLISIS DEL PROBLEMA JURÍDICO</w:t>
      </w:r>
    </w:p>
    <w:p w14:paraId="12D3DD9E" w14:textId="1176679D"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Metodológicamente, estudiaremos 2.1 La función de las autoridades administrativas en el restablecimiento de los derechos de los niños- niñas y adolescentes; 2.2 La verificación de la garantía de los derechos de los niños, niñas y adolescentes; 2.3 La facultad de los Defensores y Comisarios de Familia, para atender los casos de violencia escolar de conformidad con la Ley 1620 de 2013.</w:t>
      </w:r>
    </w:p>
    <w:p w14:paraId="64E9A4ED"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u w:val="single"/>
        </w:rPr>
        <w:t>2.1 La función de las autoridades administrativas en el restablecimiento de los derechos de los niños, niñas y adolescentes</w:t>
      </w:r>
    </w:p>
    <w:p w14:paraId="72691094"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43AE00F7"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0567DFAC"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211563">
        <w:rPr>
          <w:rFonts w:ascii="Verdana" w:hAnsi="Verdana"/>
          <w:sz w:val="22"/>
          <w:szCs w:val="22"/>
          <w:vertAlign w:val="subscript"/>
        </w:rPr>
        <w:t>[1]</w:t>
      </w:r>
    </w:p>
    <w:p w14:paraId="7CFC7816"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lastRenderedPageBreak/>
        <w:t>Al respecto, la Corte Constitucional precisó respecto al Código de la Infancia y la Adolescencia que:</w:t>
      </w:r>
    </w:p>
    <w:p w14:paraId="7C97E371" w14:textId="43BC638A"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“El propio ordenamiento establece que sus normas son de orden público, de carácter, irrenunciable y preferente, las cuáles a su vez deben ser interpretadas y aplicadas de acuerdo con la Constitución Política y los Tratados de Derechos Humanos ratificados por Colombia, en especial, por la Convención sobre los Derechos del Niño</w:t>
      </w:r>
      <w:r w:rsidRPr="00211563">
        <w:rPr>
          <w:rFonts w:ascii="Verdana" w:hAnsi="Verdana"/>
          <w:sz w:val="22"/>
          <w:szCs w:val="22"/>
        </w:rPr>
        <w:t>, </w:t>
      </w:r>
      <w:r w:rsidRPr="00211563">
        <w:rPr>
          <w:rFonts w:ascii="Verdana" w:hAnsi="Verdana"/>
          <w:i/>
          <w:iCs/>
          <w:sz w:val="22"/>
          <w:szCs w:val="22"/>
        </w:rPr>
        <w:t>ordenamientos que se entienden además integrados al citado código (arts. 5 y 6)”.</w:t>
      </w:r>
      <w:r w:rsidRPr="00211563">
        <w:rPr>
          <w:rFonts w:ascii="Verdana" w:hAnsi="Verdana"/>
          <w:i/>
          <w:iCs/>
          <w:sz w:val="22"/>
          <w:szCs w:val="22"/>
          <w:vertAlign w:val="subscript"/>
        </w:rPr>
        <w:t>[2]</w:t>
      </w:r>
    </w:p>
    <w:p w14:paraId="69FD6534"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En el capítulo III de dicho Código se establece cuáles son las autoridades competentes para el restablecimiento de los derechos do los niños, las niñas y tos adolescentes, cuya función primordial será prevenir, garantizar y restablecer los derechos de los menores de edad.</w:t>
      </w:r>
    </w:p>
    <w:p w14:paraId="39205F2C" w14:textId="65E8BD9F"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Al respecto, la Corte Constitucional indicó “(...) </w:t>
      </w:r>
      <w:r w:rsidRPr="00211563">
        <w:rPr>
          <w:rFonts w:ascii="Verdana" w:hAnsi="Verdana"/>
          <w:i/>
          <w:iCs/>
          <w:sz w:val="22"/>
          <w:szCs w:val="22"/>
        </w:rPr>
        <w:t>los artículos 81, 82 y 85 de la Ley 1098 de 2006 señalan los deberes y las funciones del defensor y del comisario de familia, siendo evidente que la misión encomendada es garantizar, proteger y restablecer los derechos prevalecientes de los menores de edad”.</w:t>
      </w:r>
      <w:r w:rsidRPr="00211563">
        <w:rPr>
          <w:rFonts w:ascii="Verdana" w:hAnsi="Verdana"/>
          <w:i/>
          <w:iCs/>
          <w:sz w:val="22"/>
          <w:szCs w:val="22"/>
          <w:vertAlign w:val="subscript"/>
        </w:rPr>
        <w:t>[3]</w:t>
      </w:r>
    </w:p>
    <w:p w14:paraId="29EFE850" w14:textId="136AB260"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En efecto, en el artículo 96 de la Ley 1098 de 2006 se contempla que </w:t>
      </w:r>
      <w:r w:rsidRPr="00211563">
        <w:rPr>
          <w:rFonts w:ascii="Verdana" w:hAnsi="Verdana"/>
          <w:i/>
          <w:iCs/>
          <w:sz w:val="22"/>
          <w:szCs w:val="22"/>
        </w:rPr>
        <w:t>“Corresponde</w:t>
      </w:r>
      <w:r w:rsidRPr="00211563">
        <w:rPr>
          <w:rFonts w:ascii="Verdana" w:hAnsi="Verdana"/>
          <w:sz w:val="22"/>
          <w:szCs w:val="22"/>
        </w:rPr>
        <w:t> a </w:t>
      </w:r>
      <w:r w:rsidRPr="00211563">
        <w:rPr>
          <w:rFonts w:ascii="Verdana" w:hAnsi="Verdana"/>
          <w:i/>
          <w:iCs/>
          <w:sz w:val="22"/>
          <w:szCs w:val="22"/>
        </w:rPr>
        <w:t>los defensores de familia y comisarios de familia procurar y promover la realización y restablecimiento de los derechos reconocidos en los tratados internacionales, en la Constitución Política y en el presente Código”.</w:t>
      </w:r>
    </w:p>
    <w:p w14:paraId="73B009EB"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437979CD"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26428A03"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61B55514"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2.2 </w:t>
      </w:r>
      <w:r w:rsidRPr="00211563">
        <w:rPr>
          <w:rFonts w:ascii="Verdana" w:hAnsi="Verdana"/>
          <w:b/>
          <w:bCs/>
          <w:sz w:val="22"/>
          <w:szCs w:val="22"/>
          <w:u w:val="single"/>
        </w:rPr>
        <w:t>La verificación de la garantía de los derechos de los niños, niñas y adolescentes</w:t>
      </w:r>
    </w:p>
    <w:p w14:paraId="048DBEC1" w14:textId="6460599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La verificación de los derechos prevista en el artículo 52 de la Ley 1098 de 2006, es &lt;sic&gt; la debe realizar la primera autoridad administrativa que conozca del evento de riesgo o daño para el menor de edad, más allá de criterios de competencia meramente formales.</w:t>
      </w:r>
    </w:p>
    <w:p w14:paraId="4CDBA776"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 xml:space="preserve">Esta verificación de derechos debe ser sin tugar a dudas real y efectiva, pero ante todo reflexiva, pues convertirla simplemente en un requisito de procedibilidad para qué un niño, niña o adolescente sea atendido, sería ir en </w:t>
      </w:r>
      <w:r w:rsidRPr="00211563">
        <w:rPr>
          <w:rFonts w:ascii="Verdana" w:hAnsi="Verdana"/>
          <w:sz w:val="22"/>
          <w:szCs w:val="22"/>
        </w:rPr>
        <w:lastRenderedPageBreak/>
        <w:t>contravía de los derechos fundamentales de los menores de edad, que gozan de una protección reforzada.</w:t>
      </w:r>
    </w:p>
    <w:p w14:paraId="21B4404C" w14:textId="4D8CB163"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Al respecto, ha dicho la Corte Constitucional en Sentencia T-502 de 2011 que:</w:t>
      </w:r>
    </w:p>
    <w:p w14:paraId="1B1362B4" w14:textId="46E251BF"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51BE449E" w14:textId="565C6690"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Así, la Ley 1098 de 2006, en su artículo 52, ubicado en el Capítulo II referente a “Medidas de restablecimiento de los</w:t>
      </w:r>
      <w:r w:rsidRPr="00211563">
        <w:rPr>
          <w:rFonts w:ascii="Verdana" w:hAnsi="Verdana"/>
          <w:sz w:val="22"/>
          <w:szCs w:val="22"/>
        </w:rPr>
        <w:t> </w:t>
      </w:r>
      <w:r w:rsidRPr="00211563">
        <w:rPr>
          <w:rFonts w:ascii="Verdana" w:hAnsi="Verdana"/>
          <w:i/>
          <w:iCs/>
          <w:sz w:val="22"/>
          <w:szCs w:val="22"/>
        </w:rPr>
        <w:t xml:space="preserve">derechos", prevé una obligación general a cargo de las </w:t>
      </w:r>
      <w:proofErr w:type="gramStart"/>
      <w:r w:rsidRPr="00211563">
        <w:rPr>
          <w:rFonts w:ascii="Verdana" w:hAnsi="Verdana"/>
          <w:i/>
          <w:iCs/>
          <w:sz w:val="22"/>
          <w:szCs w:val="22"/>
        </w:rPr>
        <w:t>autoridades públicas</w:t>
      </w:r>
      <w:proofErr w:type="gramEnd"/>
      <w:r w:rsidRPr="00211563">
        <w:rPr>
          <w:rFonts w:ascii="Verdana" w:hAnsi="Verdana"/>
          <w:i/>
          <w:iCs/>
          <w:sz w:val="22"/>
          <w:szCs w:val="22"/>
        </w:rPr>
        <w:t>, en el sentido de verificar la garantía de los derechos de los niños, las niñas y los adolescentes, examen que comprenderá la realización de un estudio sobre los siguientes aspectos:</w:t>
      </w:r>
    </w:p>
    <w:p w14:paraId="0B5B4834"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"1. El Estado de salud física y psicológica.</w:t>
      </w:r>
    </w:p>
    <w:p w14:paraId="47EDAE75"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2. Estado de nutrición y vacunación.</w:t>
      </w:r>
    </w:p>
    <w:p w14:paraId="044AA7DB"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3.  La inscripción en el registro civil de nacimiento.</w:t>
      </w:r>
    </w:p>
    <w:p w14:paraId="3F163EDF"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4. La ubicación de la familia de origen.</w:t>
      </w:r>
    </w:p>
    <w:p w14:paraId="5376C156"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5. El Estudio del entorno familiar y la identificación tanto de elementos protectores como de riesgo para la vigencia de los derechos.</w:t>
      </w:r>
    </w:p>
    <w:p w14:paraId="0DE3CF4B"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6. La vinculación al sistema de salud y seguridad social.</w:t>
      </w:r>
    </w:p>
    <w:p w14:paraId="77943BEC"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7. La vinculación al sistema educativo.</w:t>
      </w:r>
    </w:p>
    <w:p w14:paraId="0CCBB81C"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Parágrafo 1o. De las anteriores actuaciones se dejará constancia expresa, que servirá de sustento para definir las medidas pertinentes para el restablecimiento de los derechos.</w:t>
      </w:r>
    </w:p>
    <w:p w14:paraId="7E62C8E2"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Parágrafo 2o. Si la autoridad competente advierte la ocurrencia de un posible delito, deberá denunciarlo ante la autoridad penal.</w:t>
      </w:r>
    </w:p>
    <w:p w14:paraId="2EC18794" w14:textId="586E13CE"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Una vez adelantada la anterior verificación, la autoridad competente contará con los suficientes elementos de juicio para adoptar alguna de las siguientes medidas de restablecimiento de derechos, consignadas en el artículo 53 de la Ley 1098 de 2006.</w:t>
      </w:r>
    </w:p>
    <w:p w14:paraId="517B0DCF" w14:textId="063C4812"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2.3 </w:t>
      </w:r>
      <w:r w:rsidRPr="00211563">
        <w:rPr>
          <w:rFonts w:ascii="Verdana" w:hAnsi="Verdana"/>
          <w:b/>
          <w:bCs/>
          <w:sz w:val="22"/>
          <w:szCs w:val="22"/>
          <w:u w:val="single"/>
        </w:rPr>
        <w:t>La facultad de los Defensores y Comisarios de Familia para atender los casos de violencia escolar de conformidad con la Ley </w:t>
      </w:r>
      <w:r w:rsidRPr="00211563">
        <w:rPr>
          <w:rFonts w:ascii="Verdana" w:hAnsi="Verdana"/>
          <w:sz w:val="22"/>
          <w:szCs w:val="22"/>
          <w:u w:val="single"/>
        </w:rPr>
        <w:t>1620</w:t>
      </w:r>
      <w:r w:rsidRPr="00211563">
        <w:rPr>
          <w:rFonts w:ascii="Verdana" w:hAnsi="Verdana"/>
          <w:b/>
          <w:bCs/>
          <w:sz w:val="22"/>
          <w:szCs w:val="22"/>
          <w:u w:val="single"/>
        </w:rPr>
        <w:t> de 2013.</w:t>
      </w:r>
    </w:p>
    <w:p w14:paraId="78CD9E41" w14:textId="2FE73752"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A través de la Ley 1620 de 2013, se creó el Sistema Nacional de Convivencia Escolar y Formación para el Ejercicio de los Derechos Humanos, la Educación para la Sexualidad y la Prevención y Mitigación de la Violencia.</w:t>
      </w:r>
    </w:p>
    <w:p w14:paraId="033D1E93"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Dicha Ley, le asignó al Instituto Colombiano de Bienestar Familiar, la obligación de:</w:t>
      </w:r>
    </w:p>
    <w:p w14:paraId="5ACAA3B9"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lastRenderedPageBreak/>
        <w:t>1) Dar los lineamientos a las autoridades administrativas competentes y a los consejos territoriales de política social, acorde con las funciones y acciones que les corresponde en el Sistema Nacional de Convivencia Escolar, en particular y en relación con los comités municipales, distritales y departamentales de convivencia escolar y con la Ruta de Atención Integral.</w:t>
      </w:r>
    </w:p>
    <w:p w14:paraId="2AF7E480"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2) Atender y orientar a niños, niñas y adolescentes a través de las autoridades administrativas competentes, en el ejercicio y restablecimiento de sus derechos humanos, sexuales y reproductivos.</w:t>
      </w:r>
    </w:p>
    <w:p w14:paraId="0305C963"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i/>
          <w:iCs/>
          <w:sz w:val="22"/>
          <w:szCs w:val="22"/>
          <w:u w:val="single"/>
        </w:rPr>
        <w:t>3) Recibir denuncias y adoptar las medidas de emergencia y de protección necesarias en los casos en que los niños, las niñas y los adolescentes sean víctimas de delitos, o en aquellos casos que</w:t>
      </w:r>
      <w:r w:rsidRPr="00211563">
        <w:rPr>
          <w:rFonts w:ascii="Verdana" w:hAnsi="Verdana"/>
          <w:b/>
          <w:bCs/>
          <w:sz w:val="22"/>
          <w:szCs w:val="22"/>
        </w:rPr>
        <w:t> </w:t>
      </w:r>
      <w:r w:rsidRPr="00211563">
        <w:rPr>
          <w:rFonts w:ascii="Verdana" w:hAnsi="Verdana"/>
          <w:b/>
          <w:bCs/>
          <w:i/>
          <w:iCs/>
          <w:sz w:val="22"/>
          <w:szCs w:val="22"/>
        </w:rPr>
        <w:t>corresponden</w:t>
      </w:r>
      <w:r w:rsidRPr="00211563">
        <w:rPr>
          <w:rFonts w:ascii="Verdana" w:hAnsi="Verdana"/>
          <w:b/>
          <w:bCs/>
          <w:sz w:val="22"/>
          <w:szCs w:val="22"/>
        </w:rPr>
        <w:t> </w:t>
      </w:r>
      <w:r w:rsidRPr="00211563">
        <w:rPr>
          <w:rFonts w:ascii="Verdana" w:hAnsi="Verdana"/>
          <w:b/>
          <w:bCs/>
          <w:i/>
          <w:iCs/>
          <w:sz w:val="22"/>
          <w:szCs w:val="22"/>
          <w:u w:val="single"/>
        </w:rPr>
        <w:t>a convivencia escolar o vulneración de derechos sexuales y reproductivos y que provienen de la activación de la ruta de atención integral por parte de los rectores de los</w:t>
      </w:r>
      <w:r w:rsidRPr="00211563">
        <w:rPr>
          <w:rFonts w:ascii="Verdana" w:hAnsi="Verdana"/>
          <w:b/>
          <w:bCs/>
          <w:sz w:val="22"/>
          <w:szCs w:val="22"/>
        </w:rPr>
        <w:t> </w:t>
      </w:r>
      <w:r w:rsidRPr="00211563">
        <w:rPr>
          <w:rFonts w:ascii="Verdana" w:hAnsi="Verdana"/>
          <w:b/>
          <w:bCs/>
          <w:i/>
          <w:iCs/>
          <w:sz w:val="22"/>
          <w:szCs w:val="22"/>
          <w:u w:val="single"/>
        </w:rPr>
        <w:t>establecimientos educativos.</w:t>
      </w:r>
    </w:p>
    <w:p w14:paraId="100B8800"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i/>
          <w:iCs/>
          <w:sz w:val="22"/>
          <w:szCs w:val="22"/>
          <w:u w:val="single"/>
        </w:rPr>
        <w:t>4) Adoptar medidas de prevención o protección, a través de la acción del comisario de familia, una vez</w:t>
      </w:r>
      <w:r w:rsidRPr="00211563">
        <w:rPr>
          <w:rFonts w:ascii="Verdana" w:hAnsi="Verdana"/>
          <w:b/>
          <w:bCs/>
          <w:i/>
          <w:iCs/>
          <w:sz w:val="22"/>
          <w:szCs w:val="22"/>
        </w:rPr>
        <w:t> agotada </w:t>
      </w:r>
      <w:r w:rsidRPr="00211563">
        <w:rPr>
          <w:rFonts w:ascii="Verdana" w:hAnsi="Verdana"/>
          <w:b/>
          <w:bCs/>
          <w:i/>
          <w:iCs/>
          <w:sz w:val="22"/>
          <w:szCs w:val="22"/>
          <w:u w:val="single"/>
        </w:rPr>
        <w:t>la instancia del comité escolar de convivencia de que trata la presente Ley.</w:t>
      </w:r>
    </w:p>
    <w:p w14:paraId="256D21D9" w14:textId="77777777" w:rsidR="00211563" w:rsidRPr="00211563" w:rsidRDefault="00211563" w:rsidP="00211563">
      <w:pPr>
        <w:spacing w:line="240" w:lineRule="auto"/>
        <w:jc w:val="both"/>
        <w:rPr>
          <w:rFonts w:ascii="Verdana" w:hAnsi="Verdana"/>
          <w:sz w:val="22"/>
          <w:szCs w:val="22"/>
        </w:rPr>
      </w:pPr>
      <w:r w:rsidRPr="00211563">
        <w:rPr>
          <w:rFonts w:ascii="Verdana" w:hAnsi="Verdana"/>
          <w:i/>
          <w:iCs/>
          <w:sz w:val="22"/>
          <w:szCs w:val="22"/>
        </w:rPr>
        <w:t>5) Realizar seguimiento y reportar al Sistema de Información Unificado de Convivencia Escolar directamente o a través de las autoridades administrativas competentes, los casos que le sean remitidos, atendiendo a los protocolos que se establezcan, de conformidad con la reglamentación que para tal fin se expida.</w:t>
      </w:r>
    </w:p>
    <w:p w14:paraId="66B85500" w14:textId="16AD6814"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De acuerdo con la anterior disposición, en concordancia con la Ley, 1098 de 2006, tanto el Defensor como el Comisario de Familia, se encuentran facultados, para adelantar las acciones tendientes al restablecimiento, de derechos de los niños, niñas o adolescentes que han participado siendo víctimas o victimarios en los casos de convivencia escolar.</w:t>
      </w:r>
    </w:p>
    <w:p w14:paraId="48A1D2AA"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En efecto, como lo mencionamos en este concepto, los Defensores de Familia son principalmente las autoridades competentes llamadas a garantizar y restablecer los derechos de los menores de edad, y sus funciones están dirigidas a la protección, integral de los mismos.</w:t>
      </w:r>
    </w:p>
    <w:p w14:paraId="031BB2A8" w14:textId="1223CCC4"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Así las cosas, si bien es cierto la Ley 1620 de 2013 le otorgó competencia al Comisario de Familia para conocer de los casos de convivencia escolar, no puede desconocerse que el Defensor de Familia ya cuenta con dicha competencia dé restablecer los derechos de los niños, niñas o adolescentes de acuerdo con la </w:t>
      </w:r>
      <w:r w:rsidRPr="00211563">
        <w:rPr>
          <w:rFonts w:ascii="Verdana" w:hAnsi="Verdana"/>
          <w:i/>
          <w:iCs/>
          <w:sz w:val="22"/>
          <w:szCs w:val="22"/>
        </w:rPr>
        <w:t>Ley </w:t>
      </w:r>
      <w:r w:rsidRPr="00211563">
        <w:rPr>
          <w:rFonts w:ascii="Verdana" w:hAnsi="Verdana"/>
          <w:sz w:val="22"/>
          <w:szCs w:val="22"/>
        </w:rPr>
        <w:t>1098 de 2006.</w:t>
      </w:r>
    </w:p>
    <w:p w14:paraId="58A183EA" w14:textId="77777777"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3. </w:t>
      </w:r>
      <w:r w:rsidRPr="00211563">
        <w:rPr>
          <w:rFonts w:ascii="Verdana" w:hAnsi="Verdana"/>
          <w:b/>
          <w:bCs/>
          <w:sz w:val="22"/>
          <w:szCs w:val="22"/>
          <w:u w:val="single"/>
        </w:rPr>
        <w:t>CONCLUSIONES</w:t>
      </w:r>
    </w:p>
    <w:p w14:paraId="474E7A48" w14:textId="27743ABA"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Primero: En el artículo 96 de la Ley 1098 de 2006 se contempla que </w:t>
      </w:r>
      <w:r w:rsidRPr="00211563">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r w:rsidRPr="00211563">
        <w:rPr>
          <w:rFonts w:ascii="Verdana" w:hAnsi="Verdana"/>
          <w:sz w:val="22"/>
          <w:szCs w:val="22"/>
        </w:rPr>
        <w:t>”.</w:t>
      </w:r>
    </w:p>
    <w:p w14:paraId="28B5F792"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lastRenderedPageBreak/>
        <w:t>Segundo: Las Autoridades Administrativas tales como las Defensorías de Familia y las Comisarías de Familia deben garantizar, proteger y restablecer los derechos prevalecientes de los menores de edad.</w:t>
      </w:r>
    </w:p>
    <w:p w14:paraId="67E76697" w14:textId="21F112A8"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Tercero: Los Defensores y Comisarios de Familia se encuentran facultados por la Ley 1098 de 2006 y la Ley 1620 de 2013 para conocer los casos que correspondan a los asuntos de convivencia escolar.</w:t>
      </w:r>
    </w:p>
    <w:p w14:paraId="3357A4CB" w14:textId="300A6B4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 xml:space="preserve">Finalmente, es preciso indicar que el presente </w:t>
      </w:r>
      <w:proofErr w:type="gramStart"/>
      <w:r w:rsidRPr="00211563">
        <w:rPr>
          <w:rFonts w:ascii="Verdana" w:hAnsi="Verdana"/>
          <w:sz w:val="22"/>
          <w:szCs w:val="22"/>
        </w:rPr>
        <w:t>concepto</w:t>
      </w:r>
      <w:r w:rsidRPr="00211563">
        <w:rPr>
          <w:rFonts w:ascii="Verdana" w:hAnsi="Verdana"/>
          <w:sz w:val="22"/>
          <w:szCs w:val="22"/>
          <w:vertAlign w:val="subscript"/>
        </w:rPr>
        <w:t>[</w:t>
      </w:r>
      <w:proofErr w:type="gramEnd"/>
      <w:r w:rsidRPr="00211563">
        <w:rPr>
          <w:rFonts w:ascii="Verdana" w:hAnsi="Verdana"/>
          <w:sz w:val="22"/>
          <w:szCs w:val="22"/>
          <w:vertAlign w:val="subscript"/>
        </w:rPr>
        <w:t>4]</w:t>
      </w:r>
      <w:r w:rsidRPr="00211563">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211563">
        <w:rPr>
          <w:rFonts w:ascii="Verdana" w:hAnsi="Verdana"/>
          <w:sz w:val="22"/>
          <w:szCs w:val="22"/>
        </w:rPr>
        <w:t>obstante</w:t>
      </w:r>
      <w:proofErr w:type="gramEnd"/>
      <w:r w:rsidRPr="00211563">
        <w:rPr>
          <w:rFonts w:ascii="Verdana" w:hAnsi="Verdana"/>
          <w:sz w:val="22"/>
          <w:szCs w:val="22"/>
        </w:rPr>
        <w:t xml:space="preserve"> lo anterior, tiene carácter vinculante para las dependencias internas del Instituto </w:t>
      </w:r>
      <w:r w:rsidRPr="00211563">
        <w:rPr>
          <w:rFonts w:ascii="Verdana" w:hAnsi="Verdana"/>
          <w:i/>
          <w:iCs/>
          <w:sz w:val="22"/>
          <w:szCs w:val="22"/>
        </w:rPr>
        <w:t>y</w:t>
      </w:r>
      <w:r w:rsidRPr="00211563">
        <w:rPr>
          <w:rFonts w:ascii="Verdana" w:hAnsi="Verdana"/>
          <w:sz w:val="22"/>
          <w:szCs w:val="22"/>
        </w:rPr>
        <w:t>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A81ED1F" w14:textId="77777777" w:rsidR="00211563" w:rsidRDefault="00211563" w:rsidP="00211563">
      <w:pPr>
        <w:spacing w:line="240" w:lineRule="auto"/>
        <w:jc w:val="both"/>
        <w:rPr>
          <w:rFonts w:ascii="Verdana" w:hAnsi="Verdana"/>
          <w:sz w:val="22"/>
          <w:szCs w:val="22"/>
        </w:rPr>
      </w:pPr>
    </w:p>
    <w:p w14:paraId="4459D5D7" w14:textId="0F49BA6F"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Cordialmente,</w:t>
      </w:r>
    </w:p>
    <w:p w14:paraId="5F59B38B" w14:textId="77777777" w:rsidR="00211563" w:rsidRDefault="00211563" w:rsidP="00211563">
      <w:pPr>
        <w:spacing w:line="240" w:lineRule="auto"/>
        <w:jc w:val="both"/>
        <w:rPr>
          <w:rFonts w:ascii="Verdana" w:hAnsi="Verdana"/>
          <w:b/>
          <w:bCs/>
          <w:sz w:val="22"/>
          <w:szCs w:val="22"/>
        </w:rPr>
      </w:pPr>
    </w:p>
    <w:p w14:paraId="456D67A1" w14:textId="38B0527F" w:rsidR="00211563" w:rsidRPr="00211563" w:rsidRDefault="00211563" w:rsidP="00211563">
      <w:pPr>
        <w:spacing w:line="240" w:lineRule="auto"/>
        <w:jc w:val="both"/>
        <w:rPr>
          <w:rFonts w:ascii="Verdana" w:hAnsi="Verdana"/>
          <w:sz w:val="22"/>
          <w:szCs w:val="22"/>
        </w:rPr>
      </w:pPr>
      <w:r w:rsidRPr="00211563">
        <w:rPr>
          <w:rFonts w:ascii="Verdana" w:hAnsi="Verdana"/>
          <w:b/>
          <w:bCs/>
          <w:sz w:val="22"/>
          <w:szCs w:val="22"/>
        </w:rPr>
        <w:t>LUZ KARIME FERNANDEZ CASTILLO</w:t>
      </w:r>
    </w:p>
    <w:p w14:paraId="112D731E" w14:textId="77777777" w:rsidR="00211563" w:rsidRPr="00211563" w:rsidRDefault="00211563" w:rsidP="00211563">
      <w:pPr>
        <w:spacing w:line="240" w:lineRule="auto"/>
        <w:jc w:val="both"/>
        <w:rPr>
          <w:rFonts w:ascii="Verdana" w:hAnsi="Verdana"/>
          <w:sz w:val="22"/>
          <w:szCs w:val="22"/>
        </w:rPr>
      </w:pPr>
      <w:r w:rsidRPr="00211563">
        <w:rPr>
          <w:rFonts w:ascii="Verdana" w:hAnsi="Verdana"/>
          <w:sz w:val="22"/>
          <w:szCs w:val="22"/>
        </w:rPr>
        <w:t>Jefe Oficina Asesora Jurídica</w:t>
      </w:r>
    </w:p>
    <w:p w14:paraId="58AB24D1" w14:textId="77777777" w:rsidR="00211563" w:rsidRDefault="00211563" w:rsidP="00211563">
      <w:pPr>
        <w:spacing w:line="240" w:lineRule="auto"/>
        <w:jc w:val="both"/>
        <w:rPr>
          <w:rFonts w:ascii="Verdana" w:hAnsi="Verdana"/>
          <w:b/>
          <w:bCs/>
          <w:sz w:val="22"/>
          <w:szCs w:val="22"/>
        </w:rPr>
      </w:pPr>
    </w:p>
    <w:p w14:paraId="17A60165" w14:textId="62C27263" w:rsidR="00211563" w:rsidRPr="00211563" w:rsidRDefault="00211563" w:rsidP="00211563">
      <w:pPr>
        <w:spacing w:line="240" w:lineRule="auto"/>
        <w:jc w:val="both"/>
        <w:rPr>
          <w:rFonts w:ascii="Verdana" w:hAnsi="Verdana"/>
          <w:b/>
          <w:bCs/>
          <w:sz w:val="22"/>
          <w:szCs w:val="22"/>
        </w:rPr>
      </w:pPr>
      <w:r w:rsidRPr="00211563">
        <w:rPr>
          <w:rFonts w:ascii="Verdana" w:hAnsi="Verdana"/>
          <w:b/>
          <w:bCs/>
          <w:sz w:val="22"/>
          <w:szCs w:val="22"/>
        </w:rPr>
        <w:t xml:space="preserve">Notas Pie de Página: </w:t>
      </w:r>
    </w:p>
    <w:p w14:paraId="56903BB5" w14:textId="3431E36F" w:rsidR="00211563" w:rsidRPr="00211563" w:rsidRDefault="00211563" w:rsidP="00211563">
      <w:pPr>
        <w:pStyle w:val="Prrafodelista"/>
        <w:numPr>
          <w:ilvl w:val="0"/>
          <w:numId w:val="14"/>
        </w:numPr>
        <w:spacing w:line="240" w:lineRule="auto"/>
        <w:jc w:val="both"/>
        <w:rPr>
          <w:rFonts w:ascii="Verdana" w:hAnsi="Verdana"/>
          <w:sz w:val="22"/>
          <w:szCs w:val="22"/>
        </w:rPr>
      </w:pPr>
      <w:r w:rsidRPr="00211563">
        <w:rPr>
          <w:rFonts w:ascii="Verdana" w:hAnsi="Verdana"/>
          <w:sz w:val="22"/>
          <w:szCs w:val="22"/>
        </w:rPr>
        <w:t>Artículo 4o de la Ley 1093 da 2006.</w:t>
      </w:r>
    </w:p>
    <w:p w14:paraId="764F7B8C" w14:textId="6D9ECE92" w:rsidR="00211563" w:rsidRPr="00211563" w:rsidRDefault="00211563" w:rsidP="00211563">
      <w:pPr>
        <w:pStyle w:val="Prrafodelista"/>
        <w:numPr>
          <w:ilvl w:val="0"/>
          <w:numId w:val="14"/>
        </w:numPr>
        <w:spacing w:line="240" w:lineRule="auto"/>
        <w:jc w:val="both"/>
        <w:rPr>
          <w:rFonts w:ascii="Verdana" w:hAnsi="Verdana"/>
          <w:sz w:val="22"/>
          <w:szCs w:val="22"/>
        </w:rPr>
      </w:pPr>
      <w:r w:rsidRPr="00211563">
        <w:rPr>
          <w:rFonts w:ascii="Verdana" w:hAnsi="Verdana"/>
          <w:sz w:val="22"/>
          <w:szCs w:val="22"/>
        </w:rPr>
        <w:t>Corte Constitucional, C- 149 del 11 de marzo da 2009. M.P: Dr. Gabriel Eduardo Mendoza Martelo.</w:t>
      </w:r>
    </w:p>
    <w:p w14:paraId="6243A02B" w14:textId="1FC99EE9" w:rsidR="00211563" w:rsidRPr="00211563" w:rsidRDefault="00211563" w:rsidP="00211563">
      <w:pPr>
        <w:pStyle w:val="Prrafodelista"/>
        <w:numPr>
          <w:ilvl w:val="0"/>
          <w:numId w:val="14"/>
        </w:numPr>
        <w:spacing w:line="240" w:lineRule="auto"/>
        <w:jc w:val="both"/>
        <w:rPr>
          <w:rFonts w:ascii="Verdana" w:hAnsi="Verdana"/>
          <w:sz w:val="22"/>
          <w:szCs w:val="22"/>
        </w:rPr>
      </w:pPr>
      <w:r w:rsidRPr="00211563">
        <w:rPr>
          <w:rFonts w:ascii="Verdana" w:hAnsi="Verdana"/>
          <w:sz w:val="22"/>
          <w:szCs w:val="22"/>
        </w:rPr>
        <w:t xml:space="preserve">Corte Constitucional, sentencia C-690/08, expediente D-6939, </w:t>
      </w:r>
      <w:proofErr w:type="spellStart"/>
      <w:r w:rsidRPr="00211563">
        <w:rPr>
          <w:rFonts w:ascii="Verdana" w:hAnsi="Verdana"/>
          <w:sz w:val="22"/>
          <w:szCs w:val="22"/>
        </w:rPr>
        <w:t>M.p</w:t>
      </w:r>
      <w:proofErr w:type="spellEnd"/>
      <w:r w:rsidRPr="00211563">
        <w:rPr>
          <w:rFonts w:ascii="Verdana" w:hAnsi="Verdana"/>
          <w:sz w:val="22"/>
          <w:szCs w:val="22"/>
        </w:rPr>
        <w:t xml:space="preserve">. Nilson Pinilla </w:t>
      </w:r>
      <w:proofErr w:type="spellStart"/>
      <w:r w:rsidRPr="00211563">
        <w:rPr>
          <w:rFonts w:ascii="Verdana" w:hAnsi="Verdana"/>
          <w:sz w:val="22"/>
          <w:szCs w:val="22"/>
        </w:rPr>
        <w:t>Pinilla</w:t>
      </w:r>
      <w:proofErr w:type="spellEnd"/>
      <w:r w:rsidRPr="00211563">
        <w:rPr>
          <w:rFonts w:ascii="Verdana" w:hAnsi="Verdana"/>
          <w:sz w:val="22"/>
          <w:szCs w:val="22"/>
        </w:rPr>
        <w:t>.</w:t>
      </w:r>
    </w:p>
    <w:p w14:paraId="57648AA1" w14:textId="25B7A343" w:rsidR="00211563" w:rsidRPr="00211563" w:rsidRDefault="00211563" w:rsidP="00211563">
      <w:pPr>
        <w:pStyle w:val="Prrafodelista"/>
        <w:numPr>
          <w:ilvl w:val="0"/>
          <w:numId w:val="14"/>
        </w:numPr>
        <w:spacing w:line="240" w:lineRule="auto"/>
        <w:jc w:val="both"/>
        <w:rPr>
          <w:rFonts w:ascii="Verdana" w:hAnsi="Verdana"/>
          <w:sz w:val="22"/>
          <w:szCs w:val="22"/>
        </w:rPr>
      </w:pPr>
      <w:r w:rsidRPr="00211563">
        <w:rPr>
          <w:rFonts w:ascii="Verdana" w:hAnsi="Verdana"/>
          <w:sz w:val="22"/>
          <w:szCs w:val="22"/>
        </w:rPr>
        <w:t xml:space="preserve">Como al realizar </w:t>
      </w:r>
      <w:proofErr w:type="gramStart"/>
      <w:r w:rsidRPr="00211563">
        <w:rPr>
          <w:rFonts w:ascii="Verdana" w:hAnsi="Verdana"/>
          <w:sz w:val="22"/>
          <w:szCs w:val="22"/>
        </w:rPr>
        <w:t>los referidas intervenciones</w:t>
      </w:r>
      <w:proofErr w:type="gramEnd"/>
      <w:r w:rsidRPr="00211563">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w:t>
      </w:r>
      <w:r w:rsidRPr="00211563">
        <w:rPr>
          <w:rFonts w:ascii="Verdana" w:hAnsi="Verdana"/>
          <w:sz w:val="22"/>
          <w:szCs w:val="22"/>
        </w:rPr>
        <w:lastRenderedPageBreak/>
        <w:t>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526ED1DB" w:rsidR="00A724C4" w:rsidRPr="00211563" w:rsidRDefault="00A724C4" w:rsidP="009B7E6E">
      <w:pPr>
        <w:spacing w:line="240" w:lineRule="auto"/>
        <w:jc w:val="both"/>
        <w:rPr>
          <w:rFonts w:ascii="Verdana" w:hAnsi="Verdana"/>
          <w:sz w:val="22"/>
          <w:szCs w:val="22"/>
          <w:lang w:val="es-ES"/>
        </w:rPr>
      </w:pPr>
    </w:p>
    <w:sectPr w:rsidR="00A724C4" w:rsidRPr="002115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 w:numId="3" w16cid:durableId="910654820">
    <w:abstractNumId w:val="6"/>
  </w:num>
  <w:num w:numId="4" w16cid:durableId="330566206">
    <w:abstractNumId w:val="3"/>
  </w:num>
  <w:num w:numId="5" w16cid:durableId="1909916623">
    <w:abstractNumId w:val="7"/>
  </w:num>
  <w:num w:numId="6" w16cid:durableId="1497724726">
    <w:abstractNumId w:val="4"/>
  </w:num>
  <w:num w:numId="7" w16cid:durableId="1713074486">
    <w:abstractNumId w:val="12"/>
  </w:num>
  <w:num w:numId="8" w16cid:durableId="828984851">
    <w:abstractNumId w:val="9"/>
  </w:num>
  <w:num w:numId="9" w16cid:durableId="1601328956">
    <w:abstractNumId w:val="10"/>
  </w:num>
  <w:num w:numId="10" w16cid:durableId="1471245638">
    <w:abstractNumId w:val="11"/>
  </w:num>
  <w:num w:numId="11" w16cid:durableId="696661912">
    <w:abstractNumId w:val="2"/>
  </w:num>
  <w:num w:numId="12" w16cid:durableId="1327126383">
    <w:abstractNumId w:val="5"/>
  </w:num>
  <w:num w:numId="13" w16cid:durableId="313028176">
    <w:abstractNumId w:val="8"/>
  </w:num>
  <w:num w:numId="14" w16cid:durableId="7750959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1F1CE3"/>
    <w:rsid w:val="0020317C"/>
    <w:rsid w:val="00211563"/>
    <w:rsid w:val="0021626E"/>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92A16"/>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21957"/>
    <w:rsid w:val="0093086C"/>
    <w:rsid w:val="0096208E"/>
    <w:rsid w:val="0099298F"/>
    <w:rsid w:val="009A02E2"/>
    <w:rsid w:val="009B7E6E"/>
    <w:rsid w:val="009D6ED5"/>
    <w:rsid w:val="009E3B0B"/>
    <w:rsid w:val="00A674FF"/>
    <w:rsid w:val="00A724C4"/>
    <w:rsid w:val="00AD442C"/>
    <w:rsid w:val="00B31D81"/>
    <w:rsid w:val="00B330EA"/>
    <w:rsid w:val="00B33194"/>
    <w:rsid w:val="00BF0383"/>
    <w:rsid w:val="00C13107"/>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8F3683A-73C3-4AC0-87BC-7D8373F4CE94}"/>
</file>

<file path=customXml/itemProps2.xml><?xml version="1.0" encoding="utf-8"?>
<ds:datastoreItem xmlns:ds="http://schemas.openxmlformats.org/officeDocument/2006/customXml" ds:itemID="{589456A5-E774-44EE-AD7E-4637CD5F7D3D}"/>
</file>

<file path=customXml/itemProps3.xml><?xml version="1.0" encoding="utf-8"?>
<ds:datastoreItem xmlns:ds="http://schemas.openxmlformats.org/officeDocument/2006/customXml" ds:itemID="{B190D390-D62E-4C74-8A07-578955BEC23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115</TotalTime>
  <Pages>6</Pages>
  <Words>2036</Words>
  <Characters>11201</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65</cp:revision>
  <dcterms:created xsi:type="dcterms:W3CDTF">2026-05-08T19:08:00Z</dcterms:created>
  <dcterms:modified xsi:type="dcterms:W3CDTF">2026-07-12T18:07:00Z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