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3EE9F" w14:textId="388EF8AC" w:rsidR="00DA7E64" w:rsidRPr="00DA7E64" w:rsidRDefault="00DA7E64" w:rsidP="00DA7E64">
      <w:pPr>
        <w:jc w:val="center"/>
        <w:rPr>
          <w:rFonts w:ascii="Verdana" w:hAnsi="Verdana"/>
          <w:b/>
          <w:bCs/>
          <w:sz w:val="22"/>
          <w:szCs w:val="22"/>
        </w:rPr>
      </w:pPr>
      <w:r w:rsidRPr="00DA7E64">
        <w:rPr>
          <w:rFonts w:ascii="Verdana" w:hAnsi="Verdana"/>
          <w:b/>
          <w:bCs/>
          <w:sz w:val="22"/>
          <w:szCs w:val="22"/>
        </w:rPr>
        <w:t>CONCEPTO 63 DE 2014</w:t>
      </w:r>
    </w:p>
    <w:p w14:paraId="773DF38A" w14:textId="1FF09345" w:rsidR="00DA7E64" w:rsidRPr="00DA7E64" w:rsidRDefault="00DA7E64" w:rsidP="00DA7E64">
      <w:pPr>
        <w:jc w:val="center"/>
        <w:rPr>
          <w:rFonts w:ascii="Verdana" w:hAnsi="Verdana"/>
          <w:sz w:val="22"/>
          <w:szCs w:val="22"/>
        </w:rPr>
      </w:pPr>
      <w:r w:rsidRPr="00DA7E64">
        <w:rPr>
          <w:rFonts w:ascii="Verdana" w:hAnsi="Verdana"/>
          <w:sz w:val="22"/>
          <w:szCs w:val="22"/>
        </w:rPr>
        <w:t>(7 de mayo)</w:t>
      </w:r>
    </w:p>
    <w:p w14:paraId="65397CED" w14:textId="1EB4EEE5" w:rsidR="00DA7E64" w:rsidRDefault="00DA7E64" w:rsidP="00DA7E64">
      <w:pPr>
        <w:jc w:val="center"/>
        <w:rPr>
          <w:rFonts w:ascii="Verdana" w:hAnsi="Verdana"/>
          <w:b/>
          <w:bCs/>
          <w:sz w:val="22"/>
          <w:szCs w:val="22"/>
        </w:rPr>
      </w:pPr>
      <w:r w:rsidRPr="00DA7E64">
        <w:rPr>
          <w:rFonts w:ascii="Verdana" w:hAnsi="Verdana"/>
          <w:b/>
          <w:bCs/>
          <w:sz w:val="22"/>
          <w:szCs w:val="22"/>
        </w:rPr>
        <w:t>INSTITUTO COLOMBIANO DE BIENESTAR FAMILIAR – ICBF</w:t>
      </w:r>
    </w:p>
    <w:p w14:paraId="3FD732B3" w14:textId="198493EC" w:rsidR="00DA7E64" w:rsidRPr="00DA7E64" w:rsidRDefault="00DA7E64" w:rsidP="00DA7E64">
      <w:pPr>
        <w:jc w:val="both"/>
        <w:rPr>
          <w:rFonts w:ascii="Verdana" w:hAnsi="Verdana"/>
          <w:sz w:val="22"/>
          <w:szCs w:val="22"/>
        </w:rPr>
      </w:pPr>
      <w:r w:rsidRPr="00DA7E64">
        <w:rPr>
          <w:rFonts w:ascii="Verdana" w:hAnsi="Verdana"/>
          <w:b/>
          <w:bCs/>
          <w:sz w:val="22"/>
          <w:szCs w:val="22"/>
        </w:rPr>
        <w:t>ASUNTO:</w:t>
      </w:r>
      <w:r w:rsidRPr="00DA7E64">
        <w:rPr>
          <w:rFonts w:ascii="Verdana" w:hAnsi="Verdana"/>
          <w:sz w:val="22"/>
          <w:szCs w:val="22"/>
        </w:rPr>
        <w:t xml:space="preserve"> Consulta sobre parentesco</w:t>
      </w:r>
    </w:p>
    <w:p w14:paraId="298CD97F" w14:textId="0E2B96EF" w:rsidR="00DA7E64" w:rsidRPr="00DA7E64" w:rsidRDefault="00DA7E64" w:rsidP="00DA7E64">
      <w:pPr>
        <w:jc w:val="both"/>
        <w:rPr>
          <w:rFonts w:ascii="Verdana" w:hAnsi="Verdana"/>
          <w:sz w:val="22"/>
          <w:szCs w:val="22"/>
        </w:rPr>
      </w:pPr>
      <w:r w:rsidRPr="00DA7E64">
        <w:rPr>
          <w:rFonts w:ascii="Verdana" w:hAnsi="Verdana"/>
          <w:sz w:val="22"/>
          <w:szCs w:val="22"/>
        </w:rPr>
        <w:t>De manera atenta, en relación con el asunto de fa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2FDC55D4" w14:textId="394A0C44" w:rsidR="00DA7E64" w:rsidRPr="00DA7E64" w:rsidRDefault="00DA7E64" w:rsidP="00DA7E64">
      <w:pPr>
        <w:jc w:val="both"/>
        <w:rPr>
          <w:rFonts w:ascii="Verdana" w:hAnsi="Verdana"/>
          <w:sz w:val="22"/>
          <w:szCs w:val="22"/>
        </w:rPr>
      </w:pPr>
      <w:r w:rsidRPr="00DA7E64">
        <w:rPr>
          <w:rFonts w:ascii="Verdana" w:hAnsi="Verdana"/>
          <w:sz w:val="22"/>
          <w:szCs w:val="22"/>
        </w:rPr>
        <w:t>A la pregunta: ¿…existe algún tipo de parentesco entre los padres de una menor (sic), fruto de una relación casual en donde no ha existido matrimonio, convivencia, unión marital de hecho, tampoco existe actualmente entre los padres ningún tipo de relación diferente a la responsabilidad de cada uno frente a su hija?</w:t>
      </w:r>
    </w:p>
    <w:p w14:paraId="3F977445" w14:textId="68C56471" w:rsidR="00DA7E64" w:rsidRPr="00DA7E64" w:rsidRDefault="00DA7E64" w:rsidP="00DA7E64">
      <w:pPr>
        <w:jc w:val="both"/>
        <w:rPr>
          <w:rFonts w:ascii="Verdana" w:hAnsi="Verdana"/>
          <w:sz w:val="22"/>
          <w:szCs w:val="22"/>
        </w:rPr>
      </w:pPr>
      <w:r w:rsidRPr="00DA7E64">
        <w:rPr>
          <w:rFonts w:ascii="Verdana" w:hAnsi="Verdana"/>
          <w:sz w:val="22"/>
          <w:szCs w:val="22"/>
        </w:rPr>
        <w:t>El artículo 42 de la Constitución Política indica que:</w:t>
      </w:r>
    </w:p>
    <w:p w14:paraId="2F9D4AB2" w14:textId="77AB37C9" w:rsidR="00DA7E64" w:rsidRPr="00DA7E64" w:rsidRDefault="00DA7E64" w:rsidP="00DA7E64">
      <w:pPr>
        <w:jc w:val="both"/>
        <w:rPr>
          <w:rFonts w:ascii="Verdana" w:hAnsi="Verdana"/>
          <w:sz w:val="22"/>
          <w:szCs w:val="22"/>
        </w:rPr>
      </w:pPr>
      <w:r w:rsidRPr="00DA7E64">
        <w:rPr>
          <w:rFonts w:ascii="Verdana" w:hAnsi="Verdana"/>
          <w:sz w:val="22"/>
          <w:szCs w:val="22"/>
        </w:rPr>
        <w:t>"La familia es el núcleo fundamental de la sociedad. Se constituye por vínculos naturales o jurídicos, por la decisión libre de un hombre y una mujer de contraer matrimonio o por la voluntad responsable de conformarla".</w:t>
      </w:r>
    </w:p>
    <w:p w14:paraId="0A8D1C10" w14:textId="7B0A44CA" w:rsidR="00DA7E64" w:rsidRPr="00DA7E64" w:rsidRDefault="00DA7E64" w:rsidP="00DA7E64">
      <w:pPr>
        <w:jc w:val="both"/>
        <w:rPr>
          <w:rFonts w:ascii="Verdana" w:hAnsi="Verdana"/>
          <w:sz w:val="22"/>
          <w:szCs w:val="22"/>
        </w:rPr>
      </w:pPr>
      <w:r w:rsidRPr="00DA7E64">
        <w:rPr>
          <w:rFonts w:ascii="Verdana" w:hAnsi="Verdana"/>
          <w:sz w:val="22"/>
          <w:szCs w:val="22"/>
        </w:rPr>
        <w:t>Ahora bien, el parentesco es la relación o conexión que existe entre las personas que descienden de un mismo tronco o raíz, o que están unidas por vínculos de sangre, de adopción o matrimonio civil o de hecho reconocido judicialmente.</w:t>
      </w:r>
    </w:p>
    <w:p w14:paraId="069BC6C0" w14:textId="53FDF011" w:rsidR="00DA7E64" w:rsidRPr="00DA7E64" w:rsidRDefault="00DA7E64" w:rsidP="00DA7E64">
      <w:pPr>
        <w:jc w:val="both"/>
        <w:rPr>
          <w:rFonts w:ascii="Verdana" w:hAnsi="Verdana"/>
          <w:sz w:val="22"/>
          <w:szCs w:val="22"/>
        </w:rPr>
      </w:pPr>
      <w:r w:rsidRPr="00DA7E64">
        <w:rPr>
          <w:rFonts w:ascii="Verdana" w:hAnsi="Verdana"/>
          <w:sz w:val="22"/>
          <w:szCs w:val="22"/>
        </w:rPr>
        <w:t>Parentesco de consanguinidad en línea recta y colateral</w:t>
      </w:r>
    </w:p>
    <w:p w14:paraId="0C48715E" w14:textId="4FEFB196" w:rsidR="00DA7E64" w:rsidRPr="00DA7E64" w:rsidRDefault="00DA7E64" w:rsidP="00DA7E64">
      <w:pPr>
        <w:jc w:val="both"/>
        <w:rPr>
          <w:rFonts w:ascii="Verdana" w:hAnsi="Verdana"/>
          <w:sz w:val="22"/>
          <w:szCs w:val="22"/>
        </w:rPr>
      </w:pPr>
      <w:r w:rsidRPr="00DA7E64">
        <w:rPr>
          <w:rFonts w:ascii="Verdana" w:hAnsi="Verdana"/>
          <w:sz w:val="22"/>
          <w:szCs w:val="22"/>
        </w:rPr>
        <w:t>De conformidad con lo previsto en el artículo 36 del Código Civil, los grados de consanguinidad entre dos personas se cuentan por el número de generaciones. "Así, el nieto está en segundo grado de consanguinidad con el abuelo, y dos primos hermanos en cuarto grado de consanguinidad entre sí.</w:t>
      </w:r>
    </w:p>
    <w:p w14:paraId="5CFDCA0E" w14:textId="397CB989" w:rsidR="00DA7E64" w:rsidRPr="00DA7E64" w:rsidRDefault="00DA7E64" w:rsidP="00DA7E64">
      <w:pPr>
        <w:jc w:val="both"/>
        <w:rPr>
          <w:rFonts w:ascii="Verdana" w:hAnsi="Verdana"/>
          <w:sz w:val="22"/>
          <w:szCs w:val="22"/>
        </w:rPr>
      </w:pPr>
      <w:r w:rsidRPr="00DA7E64">
        <w:rPr>
          <w:rFonts w:ascii="Verdana" w:hAnsi="Verdana"/>
          <w:sz w:val="22"/>
          <w:szCs w:val="22"/>
        </w:rPr>
        <w:t>A su turno, en el parentesco existen líneas y grados de consanguinidad, las líneas pueden ser ascendientes, descendientes, colaterales, paternas o maternas, y los grados se determinan por el número de generaciones existe entre la raíz común y los demás miembros de la familia.</w:t>
      </w:r>
    </w:p>
    <w:p w14:paraId="401ACC52" w14:textId="00E681C8" w:rsidR="00DA7E64" w:rsidRPr="00DA7E64" w:rsidRDefault="00DA7E64" w:rsidP="00DA7E64">
      <w:pPr>
        <w:jc w:val="both"/>
        <w:rPr>
          <w:rFonts w:ascii="Verdana" w:hAnsi="Verdana"/>
          <w:sz w:val="22"/>
          <w:szCs w:val="22"/>
        </w:rPr>
      </w:pPr>
      <w:r w:rsidRPr="00DA7E64">
        <w:rPr>
          <w:rFonts w:ascii="Verdana" w:hAnsi="Verdana"/>
          <w:sz w:val="22"/>
          <w:szCs w:val="22"/>
        </w:rPr>
        <w:t>Parentesco de afinidad</w:t>
      </w:r>
    </w:p>
    <w:p w14:paraId="7F10A150" w14:textId="260D944C" w:rsidR="00DA7E64" w:rsidRPr="00DA7E64" w:rsidRDefault="00DA7E64" w:rsidP="00DA7E64">
      <w:pPr>
        <w:jc w:val="both"/>
        <w:rPr>
          <w:rFonts w:ascii="Verdana" w:hAnsi="Verdana"/>
          <w:sz w:val="22"/>
          <w:szCs w:val="22"/>
        </w:rPr>
      </w:pPr>
      <w:r w:rsidRPr="00DA7E64">
        <w:rPr>
          <w:rFonts w:ascii="Verdana" w:hAnsi="Verdana"/>
          <w:sz w:val="22"/>
          <w:szCs w:val="22"/>
        </w:rPr>
        <w:t xml:space="preserve">El Parentesco por Afinidad es la relación familiar que existe entre aquellas personas que tienen vínculos matrimoniales o a través de una unión marital de hecho. </w:t>
      </w:r>
      <w:proofErr w:type="gramStart"/>
      <w:r w:rsidRPr="00DA7E64">
        <w:rPr>
          <w:rFonts w:ascii="Verdana" w:hAnsi="Verdana"/>
          <w:sz w:val="22"/>
          <w:szCs w:val="22"/>
        </w:rPr>
        <w:t>Éste</w:t>
      </w:r>
      <w:proofErr w:type="gramEnd"/>
      <w:r w:rsidRPr="00DA7E64">
        <w:rPr>
          <w:rFonts w:ascii="Verdana" w:hAnsi="Verdana"/>
          <w:sz w:val="22"/>
          <w:szCs w:val="22"/>
        </w:rPr>
        <w:t xml:space="preserve"> vínculo cesa por la disolución del matrimonio o la unión marital de hecho.</w:t>
      </w:r>
    </w:p>
    <w:p w14:paraId="5322CEC2" w14:textId="71FEFBC1" w:rsidR="00DA7E64" w:rsidRPr="00DA7E64" w:rsidRDefault="00DA7E64" w:rsidP="00DA7E64">
      <w:pPr>
        <w:jc w:val="both"/>
        <w:rPr>
          <w:rFonts w:ascii="Verdana" w:hAnsi="Verdana"/>
          <w:sz w:val="22"/>
          <w:szCs w:val="22"/>
        </w:rPr>
      </w:pPr>
      <w:r w:rsidRPr="00DA7E64">
        <w:rPr>
          <w:rFonts w:ascii="Verdana" w:hAnsi="Verdana"/>
          <w:sz w:val="22"/>
          <w:szCs w:val="22"/>
        </w:rPr>
        <w:lastRenderedPageBreak/>
        <w:t>Ahora bien, el Código civil define el parentesco de afinidad como:</w:t>
      </w:r>
    </w:p>
    <w:p w14:paraId="5F51F1BD" w14:textId="03A53998" w:rsidR="00DA7E64" w:rsidRPr="00DA7E64" w:rsidRDefault="00DA7E64" w:rsidP="00DA7E64">
      <w:pPr>
        <w:jc w:val="both"/>
        <w:rPr>
          <w:rFonts w:ascii="Verdana" w:hAnsi="Verdana"/>
          <w:sz w:val="22"/>
          <w:szCs w:val="22"/>
        </w:rPr>
      </w:pPr>
      <w:r w:rsidRPr="00DA7E64">
        <w:rPr>
          <w:rFonts w:ascii="Verdana" w:hAnsi="Verdana"/>
          <w:sz w:val="22"/>
          <w:szCs w:val="22"/>
        </w:rPr>
        <w:t>“...la que existe entre una persona que está o ha estado casada y los consanguíneos legítimos de su mando o mujer. La línea o grado de afinidad legítima de una persona con un consanguíneo de su marido o mujer, se califica por la línea o grado de consanguinidad legítima de dicho mando o mujer con el dicho consanguíneo. Así un varón está en primer grado de afinidad legítima, en la línea recta, con los hijos habidos por su mujer en anterior matrimonio; en segundo grado de afinidad legítima, en la línea transversal, con los hermanos legítimos de su mujer.</w:t>
      </w:r>
    </w:p>
    <w:p w14:paraId="4FA8EC7B" w14:textId="17662ED3" w:rsidR="00DA7E64" w:rsidRPr="00DA7E64" w:rsidRDefault="00DA7E64" w:rsidP="00DA7E64">
      <w:pPr>
        <w:jc w:val="both"/>
        <w:rPr>
          <w:rFonts w:ascii="Verdana" w:hAnsi="Verdana"/>
          <w:sz w:val="22"/>
          <w:szCs w:val="22"/>
        </w:rPr>
      </w:pPr>
      <w:r w:rsidRPr="00DA7E64">
        <w:rPr>
          <w:rFonts w:ascii="Verdana" w:hAnsi="Verdana"/>
          <w:sz w:val="22"/>
          <w:szCs w:val="22"/>
        </w:rPr>
        <w:t>Parentesco civil o de adopción</w:t>
      </w:r>
    </w:p>
    <w:p w14:paraId="6E760C95" w14:textId="461F1AB6" w:rsidR="00DA7E64" w:rsidRPr="00DA7E64" w:rsidRDefault="00DA7E64" w:rsidP="00DA7E64">
      <w:pPr>
        <w:jc w:val="both"/>
        <w:rPr>
          <w:rFonts w:ascii="Verdana" w:hAnsi="Verdana"/>
          <w:sz w:val="22"/>
          <w:szCs w:val="22"/>
        </w:rPr>
      </w:pPr>
      <w:r w:rsidRPr="00DA7E64">
        <w:rPr>
          <w:rFonts w:ascii="Verdana" w:hAnsi="Verdana"/>
          <w:sz w:val="22"/>
          <w:szCs w:val="22"/>
        </w:rPr>
        <w:t>El Parentesco Civil o por adopción es la relación familiar que nace por la adopción y genera parentesco entre el adoptante y el adoptado y los descendientes que le sobrevengan al adoptado.</w:t>
      </w:r>
    </w:p>
    <w:p w14:paraId="0BB8D5A1" w14:textId="32508B97" w:rsidR="00DA7E64" w:rsidRPr="00DA7E64" w:rsidRDefault="00DA7E64" w:rsidP="00DA7E64">
      <w:pPr>
        <w:jc w:val="both"/>
        <w:rPr>
          <w:rFonts w:ascii="Verdana" w:hAnsi="Verdana"/>
          <w:sz w:val="22"/>
          <w:szCs w:val="22"/>
        </w:rPr>
      </w:pPr>
      <w:r w:rsidRPr="00DA7E64">
        <w:rPr>
          <w:rFonts w:ascii="Verdana" w:hAnsi="Verdana"/>
          <w:sz w:val="22"/>
          <w:szCs w:val="22"/>
        </w:rPr>
        <w:t xml:space="preserve">El artículo 50 </w:t>
      </w:r>
      <w:proofErr w:type="spellStart"/>
      <w:r w:rsidRPr="00DA7E64">
        <w:rPr>
          <w:rFonts w:ascii="Verdana" w:hAnsi="Verdana"/>
          <w:sz w:val="22"/>
          <w:szCs w:val="22"/>
        </w:rPr>
        <w:t>Ibídem</w:t>
      </w:r>
      <w:proofErr w:type="spellEnd"/>
      <w:r w:rsidRPr="00DA7E64">
        <w:rPr>
          <w:rFonts w:ascii="Verdana" w:hAnsi="Verdana"/>
          <w:sz w:val="22"/>
          <w:szCs w:val="22"/>
        </w:rPr>
        <w:t xml:space="preserve"> establece que:</w:t>
      </w:r>
    </w:p>
    <w:p w14:paraId="0694B341" w14:textId="5707E0AB" w:rsidR="00DA7E64" w:rsidRPr="00DA7E64" w:rsidRDefault="00DA7E64" w:rsidP="00DA7E64">
      <w:pPr>
        <w:jc w:val="both"/>
        <w:rPr>
          <w:rFonts w:ascii="Verdana" w:hAnsi="Verdana"/>
          <w:sz w:val="22"/>
          <w:szCs w:val="22"/>
        </w:rPr>
      </w:pPr>
      <w:r w:rsidRPr="00DA7E64">
        <w:rPr>
          <w:rFonts w:ascii="Verdana" w:hAnsi="Verdana"/>
          <w:sz w:val="22"/>
          <w:szCs w:val="22"/>
        </w:rPr>
        <w:t>"Parentesco civil es el que resulta de la adopción, mediante la cual la ley estima que el adoptante, su mujer y el adoptivo se encuentran entre sí, respectivamente, en las relaciones de padre, de madre, de hijo. Este parentesco no pasa de las respectivas personas."</w:t>
      </w:r>
    </w:p>
    <w:p w14:paraId="489CA83E" w14:textId="6442DE87" w:rsidR="00DA7E64" w:rsidRPr="00DA7E64" w:rsidRDefault="00DA7E64" w:rsidP="00DA7E64">
      <w:pPr>
        <w:jc w:val="both"/>
        <w:rPr>
          <w:rFonts w:ascii="Verdana" w:hAnsi="Verdana"/>
          <w:sz w:val="22"/>
          <w:szCs w:val="22"/>
        </w:rPr>
      </w:pPr>
      <w:r w:rsidRPr="00DA7E64">
        <w:rPr>
          <w:rFonts w:ascii="Verdana" w:hAnsi="Verdana"/>
          <w:sz w:val="22"/>
          <w:szCs w:val="22"/>
        </w:rPr>
        <w:t xml:space="preserve">Descendiendo al caso que aquí se consulta y </w:t>
      </w:r>
      <w:proofErr w:type="gramStart"/>
      <w:r w:rsidRPr="00DA7E64">
        <w:rPr>
          <w:rFonts w:ascii="Verdana" w:hAnsi="Verdana"/>
          <w:sz w:val="22"/>
          <w:szCs w:val="22"/>
        </w:rPr>
        <w:t>de acuerdo a</w:t>
      </w:r>
      <w:proofErr w:type="gramEnd"/>
      <w:r w:rsidRPr="00DA7E64">
        <w:rPr>
          <w:rFonts w:ascii="Verdana" w:hAnsi="Verdana"/>
          <w:sz w:val="22"/>
          <w:szCs w:val="22"/>
        </w:rPr>
        <w:t xml:space="preserve"> la anterior fundamentación, puede concluirse </w:t>
      </w:r>
      <w:proofErr w:type="gramStart"/>
      <w:r w:rsidRPr="00DA7E64">
        <w:rPr>
          <w:rFonts w:ascii="Verdana" w:hAnsi="Verdana"/>
          <w:sz w:val="22"/>
          <w:szCs w:val="22"/>
        </w:rPr>
        <w:t>sin lugar a dudas</w:t>
      </w:r>
      <w:proofErr w:type="gramEnd"/>
      <w:r w:rsidRPr="00DA7E64">
        <w:rPr>
          <w:rFonts w:ascii="Verdana" w:hAnsi="Verdana"/>
          <w:sz w:val="22"/>
          <w:szCs w:val="22"/>
        </w:rPr>
        <w:t xml:space="preserve"> que entre los padres de una menor de edad que no tienen ningún vínculo matrimonial o de unión marital de hecho, no existe parentesco entre ellos. Es importante precisar que el solo hecho de ser padres de una menor de edad, en nuestra legislación no se establece ninguna clase de parentesco o vínculo jurídico entre padres, como si lo existe con su hija.</w:t>
      </w:r>
    </w:p>
    <w:p w14:paraId="3BF37B13" w14:textId="745FDC26" w:rsidR="00DA7E64" w:rsidRPr="00DA7E64" w:rsidRDefault="00DA7E64" w:rsidP="00DA7E64">
      <w:pPr>
        <w:jc w:val="both"/>
        <w:rPr>
          <w:rFonts w:ascii="Verdana" w:hAnsi="Verdana"/>
          <w:sz w:val="22"/>
          <w:szCs w:val="22"/>
        </w:rPr>
      </w:pPr>
      <w:r w:rsidRPr="00DA7E64">
        <w:rPr>
          <w:rFonts w:ascii="Verdana" w:hAnsi="Verdana"/>
          <w:sz w:val="22"/>
          <w:szCs w:val="22"/>
        </w:rPr>
        <w:t xml:space="preserve">Por </w:t>
      </w:r>
      <w:proofErr w:type="gramStart"/>
      <w:r w:rsidRPr="00DA7E64">
        <w:rPr>
          <w:rFonts w:ascii="Verdana" w:hAnsi="Verdana"/>
          <w:sz w:val="22"/>
          <w:szCs w:val="22"/>
        </w:rPr>
        <w:t>último</w:t>
      </w:r>
      <w:proofErr w:type="gramEnd"/>
      <w:r w:rsidRPr="00DA7E64">
        <w:rPr>
          <w:rFonts w:ascii="Verdana" w:hAnsi="Verdana"/>
          <w:sz w:val="22"/>
          <w:szCs w:val="22"/>
        </w:rPr>
        <w:t xml:space="preserve"> es preciso indicar que el presente </w:t>
      </w:r>
      <w:proofErr w:type="gramStart"/>
      <w:r w:rsidRPr="00DA7E64">
        <w:rPr>
          <w:rFonts w:ascii="Verdana" w:hAnsi="Verdana"/>
          <w:sz w:val="22"/>
          <w:szCs w:val="22"/>
        </w:rPr>
        <w:t>concepto[</w:t>
      </w:r>
      <w:proofErr w:type="gramEnd"/>
      <w:r w:rsidRPr="00DA7E64">
        <w:rPr>
          <w:rFonts w:ascii="Verdana" w:hAnsi="Verdana"/>
          <w:sz w:val="22"/>
          <w:szCs w:val="22"/>
        </w:rPr>
        <w:t xml:space="preserve">3 no es de obligatorio cumplimiento o ejecución para particulares o agentes externos, de conformidad con lo establecido en el artículo 28 de la ley 1447 de 2011, Código de Procedimiento Administrativo y de lo Contencioso Administrativo. No </w:t>
      </w:r>
      <w:proofErr w:type="gramStart"/>
      <w:r w:rsidRPr="00DA7E64">
        <w:rPr>
          <w:rFonts w:ascii="Verdana" w:hAnsi="Verdana"/>
          <w:sz w:val="22"/>
          <w:szCs w:val="22"/>
        </w:rPr>
        <w:t>obstante</w:t>
      </w:r>
      <w:proofErr w:type="gramEnd"/>
      <w:r w:rsidRPr="00DA7E64">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5AE502FB" w14:textId="1C8D885B" w:rsidR="00DA7E64" w:rsidRPr="00DA7E64" w:rsidRDefault="00DA7E64" w:rsidP="00DA7E64">
      <w:pPr>
        <w:jc w:val="both"/>
        <w:rPr>
          <w:rFonts w:ascii="Verdana" w:hAnsi="Verdana"/>
          <w:sz w:val="22"/>
          <w:szCs w:val="22"/>
        </w:rPr>
      </w:pPr>
      <w:r w:rsidRPr="00DA7E64">
        <w:rPr>
          <w:rFonts w:ascii="Verdana" w:hAnsi="Verdana"/>
          <w:sz w:val="22"/>
          <w:szCs w:val="22"/>
        </w:rPr>
        <w:t>Cordialmente,</w:t>
      </w:r>
    </w:p>
    <w:p w14:paraId="6C187986" w14:textId="5B968D9F" w:rsidR="00DA7E64" w:rsidRPr="00DA7E64" w:rsidRDefault="00DA7E64" w:rsidP="008C645E">
      <w:pPr>
        <w:rPr>
          <w:rFonts w:ascii="Verdana" w:hAnsi="Verdana"/>
          <w:b/>
          <w:bCs/>
          <w:sz w:val="22"/>
          <w:szCs w:val="22"/>
        </w:rPr>
      </w:pPr>
      <w:r w:rsidRPr="00DA7E64">
        <w:rPr>
          <w:rFonts w:ascii="Verdana" w:hAnsi="Verdana"/>
          <w:b/>
          <w:bCs/>
          <w:sz w:val="22"/>
          <w:szCs w:val="22"/>
        </w:rPr>
        <w:t>LUISA MARINA BALLESTEROS ARISTIZABAL</w:t>
      </w:r>
    </w:p>
    <w:p w14:paraId="16B9D4A6" w14:textId="2BAED0E7" w:rsidR="00DA7E64" w:rsidRDefault="00DA7E64" w:rsidP="008C645E">
      <w:pPr>
        <w:rPr>
          <w:rFonts w:ascii="Verdana" w:hAnsi="Verdana"/>
          <w:sz w:val="22"/>
          <w:szCs w:val="22"/>
        </w:rPr>
      </w:pPr>
      <w:r w:rsidRPr="00DA7E64">
        <w:rPr>
          <w:rFonts w:ascii="Verdana" w:hAnsi="Verdana"/>
          <w:sz w:val="22"/>
          <w:szCs w:val="22"/>
        </w:rPr>
        <w:lastRenderedPageBreak/>
        <w:t>JEFE OFICINA ASESORA JURÍDICA</w:t>
      </w:r>
    </w:p>
    <w:p w14:paraId="7987A614" w14:textId="77777777" w:rsidR="008C645E" w:rsidRPr="00DA7E64" w:rsidRDefault="008C645E" w:rsidP="008C645E">
      <w:pPr>
        <w:rPr>
          <w:rFonts w:ascii="Verdana" w:hAnsi="Verdana"/>
          <w:sz w:val="22"/>
          <w:szCs w:val="22"/>
        </w:rPr>
      </w:pPr>
    </w:p>
    <w:p w14:paraId="405F6438" w14:textId="17F0B9B7" w:rsidR="00DA7E64" w:rsidRPr="008C645E" w:rsidRDefault="008C645E" w:rsidP="00DA7E64">
      <w:pPr>
        <w:jc w:val="both"/>
        <w:rPr>
          <w:rFonts w:ascii="Verdana" w:hAnsi="Verdana"/>
          <w:b/>
          <w:bCs/>
          <w:sz w:val="22"/>
          <w:szCs w:val="22"/>
        </w:rPr>
      </w:pPr>
      <w:r w:rsidRPr="008C645E">
        <w:rPr>
          <w:rFonts w:ascii="Verdana" w:hAnsi="Verdana"/>
          <w:b/>
          <w:bCs/>
          <w:sz w:val="22"/>
          <w:szCs w:val="22"/>
        </w:rPr>
        <w:t>Notas al pie de página:</w:t>
      </w:r>
    </w:p>
    <w:p w14:paraId="380646BA" w14:textId="77777777" w:rsidR="008C645E" w:rsidRPr="00DA7E64" w:rsidRDefault="008C645E" w:rsidP="00DA7E64">
      <w:pPr>
        <w:jc w:val="both"/>
        <w:rPr>
          <w:rFonts w:ascii="Verdana" w:hAnsi="Verdana"/>
          <w:sz w:val="22"/>
          <w:szCs w:val="22"/>
        </w:rPr>
      </w:pPr>
    </w:p>
    <w:p w14:paraId="2E795293" w14:textId="66D05AD6" w:rsidR="00DA7E64" w:rsidRPr="00DA7E64" w:rsidRDefault="00DA7E64" w:rsidP="00DA7E64">
      <w:pPr>
        <w:jc w:val="both"/>
        <w:rPr>
          <w:rFonts w:ascii="Verdana" w:hAnsi="Verdana"/>
          <w:sz w:val="22"/>
          <w:szCs w:val="22"/>
        </w:rPr>
      </w:pPr>
      <w:r w:rsidRPr="00DA7E64">
        <w:rPr>
          <w:rFonts w:ascii="Verdana" w:hAnsi="Verdana"/>
          <w:sz w:val="22"/>
          <w:szCs w:val="22"/>
        </w:rPr>
        <w:t>1. Artículo 35 del Código Civil</w:t>
      </w:r>
    </w:p>
    <w:p w14:paraId="5C86AE26" w14:textId="6239AF90" w:rsidR="00DA7E64" w:rsidRPr="00DA7E64" w:rsidRDefault="00DA7E64" w:rsidP="00DA7E64">
      <w:pPr>
        <w:jc w:val="both"/>
        <w:rPr>
          <w:rFonts w:ascii="Verdana" w:hAnsi="Verdana"/>
          <w:sz w:val="22"/>
          <w:szCs w:val="22"/>
        </w:rPr>
      </w:pPr>
      <w:r w:rsidRPr="00DA7E64">
        <w:rPr>
          <w:rFonts w:ascii="Verdana" w:hAnsi="Verdana"/>
          <w:sz w:val="22"/>
          <w:szCs w:val="22"/>
        </w:rPr>
        <w:t>2. Articulo 47</w:t>
      </w:r>
    </w:p>
    <w:p w14:paraId="35D3CDA2" w14:textId="77777777" w:rsidR="00DA7E64" w:rsidRPr="00DA7E64" w:rsidRDefault="00DA7E64" w:rsidP="00DA7E64">
      <w:pPr>
        <w:jc w:val="both"/>
        <w:rPr>
          <w:rFonts w:ascii="Verdana" w:hAnsi="Verdana"/>
          <w:sz w:val="22"/>
          <w:szCs w:val="22"/>
        </w:rPr>
      </w:pPr>
      <w:r w:rsidRPr="00DA7E64">
        <w:rPr>
          <w:rFonts w:ascii="Verdana" w:hAnsi="Verdana"/>
          <w:sz w:val="22"/>
          <w:szCs w:val="22"/>
        </w:rPr>
        <w:t>3. “Como al realizar las referidas intervenciones la Administración debe aplicar el derecho, no siempre a través de funcionarios con conocimientos jurídicos, o cuando la debida ejecución de la ley requiere precisiones da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3D9A19D2" w14:textId="77777777" w:rsidR="00DA7E64" w:rsidRPr="00DA7E64" w:rsidRDefault="00DA7E64" w:rsidP="00DA7E64">
      <w:pPr>
        <w:jc w:val="both"/>
        <w:rPr>
          <w:rFonts w:ascii="Verdana" w:hAnsi="Verdana"/>
          <w:sz w:val="22"/>
          <w:szCs w:val="22"/>
        </w:rPr>
      </w:pPr>
    </w:p>
    <w:sectPr w:rsidR="00DA7E64" w:rsidRPr="00DA7E6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E64"/>
    <w:rsid w:val="008C645E"/>
    <w:rsid w:val="00C06433"/>
    <w:rsid w:val="00D33D3A"/>
    <w:rsid w:val="00DA7E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62F5F"/>
  <w15:chartTrackingRefBased/>
  <w15:docId w15:val="{5A583C2A-F082-435B-A287-2C82881BE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A7E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A7E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A7E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A7E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A7E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A7E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A7E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A7E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A7E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7E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A7E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A7E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A7E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A7E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A7E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A7E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A7E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A7E64"/>
    <w:rPr>
      <w:rFonts w:eastAsiaTheme="majorEastAsia" w:cstheme="majorBidi"/>
      <w:color w:val="272727" w:themeColor="text1" w:themeTint="D8"/>
    </w:rPr>
  </w:style>
  <w:style w:type="paragraph" w:styleId="Ttulo">
    <w:name w:val="Title"/>
    <w:basedOn w:val="Normal"/>
    <w:next w:val="Normal"/>
    <w:link w:val="TtuloCar"/>
    <w:uiPriority w:val="10"/>
    <w:qFormat/>
    <w:rsid w:val="00DA7E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A7E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A7E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A7E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A7E64"/>
    <w:pPr>
      <w:spacing w:before="160"/>
      <w:jc w:val="center"/>
    </w:pPr>
    <w:rPr>
      <w:i/>
      <w:iCs/>
      <w:color w:val="404040" w:themeColor="text1" w:themeTint="BF"/>
    </w:rPr>
  </w:style>
  <w:style w:type="character" w:customStyle="1" w:styleId="CitaCar">
    <w:name w:val="Cita Car"/>
    <w:basedOn w:val="Fuentedeprrafopredeter"/>
    <w:link w:val="Cita"/>
    <w:uiPriority w:val="29"/>
    <w:rsid w:val="00DA7E64"/>
    <w:rPr>
      <w:i/>
      <w:iCs/>
      <w:color w:val="404040" w:themeColor="text1" w:themeTint="BF"/>
    </w:rPr>
  </w:style>
  <w:style w:type="paragraph" w:styleId="Prrafodelista">
    <w:name w:val="List Paragraph"/>
    <w:basedOn w:val="Normal"/>
    <w:uiPriority w:val="34"/>
    <w:qFormat/>
    <w:rsid w:val="00DA7E64"/>
    <w:pPr>
      <w:ind w:left="720"/>
      <w:contextualSpacing/>
    </w:pPr>
  </w:style>
  <w:style w:type="character" w:styleId="nfasisintenso">
    <w:name w:val="Intense Emphasis"/>
    <w:basedOn w:val="Fuentedeprrafopredeter"/>
    <w:uiPriority w:val="21"/>
    <w:qFormat/>
    <w:rsid w:val="00DA7E64"/>
    <w:rPr>
      <w:i/>
      <w:iCs/>
      <w:color w:val="0F4761" w:themeColor="accent1" w:themeShade="BF"/>
    </w:rPr>
  </w:style>
  <w:style w:type="paragraph" w:styleId="Citadestacada">
    <w:name w:val="Intense Quote"/>
    <w:basedOn w:val="Normal"/>
    <w:next w:val="Normal"/>
    <w:link w:val="CitadestacadaCar"/>
    <w:uiPriority w:val="30"/>
    <w:qFormat/>
    <w:rsid w:val="00DA7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A7E64"/>
    <w:rPr>
      <w:i/>
      <w:iCs/>
      <w:color w:val="0F4761" w:themeColor="accent1" w:themeShade="BF"/>
    </w:rPr>
  </w:style>
  <w:style w:type="character" w:styleId="Referenciaintensa">
    <w:name w:val="Intense Reference"/>
    <w:basedOn w:val="Fuentedeprrafopredeter"/>
    <w:uiPriority w:val="32"/>
    <w:qFormat/>
    <w:rsid w:val="00DA7E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0D5087D5-4B3C-4877-9697-7D5C49CDA6BF}"/>
</file>

<file path=customXml/itemProps2.xml><?xml version="1.0" encoding="utf-8"?>
<ds:datastoreItem xmlns:ds="http://schemas.openxmlformats.org/officeDocument/2006/customXml" ds:itemID="{071F5C13-8958-442C-AD91-692751B637C3}"/>
</file>

<file path=customXml/itemProps3.xml><?xml version="1.0" encoding="utf-8"?>
<ds:datastoreItem xmlns:ds="http://schemas.openxmlformats.org/officeDocument/2006/customXml" ds:itemID="{3E922DF3-8F0A-441F-B8FC-B2B3A6978335}"/>
</file>

<file path=docProps/app.xml><?xml version="1.0" encoding="utf-8"?>
<Properties xmlns="http://schemas.openxmlformats.org/officeDocument/2006/extended-properties" xmlns:vt="http://schemas.openxmlformats.org/officeDocument/2006/docPropsVTypes">
  <Template>Normal</Template>
  <TotalTime>2</TotalTime>
  <Pages>1</Pages>
  <Words>974</Words>
  <Characters>5363</Characters>
  <Application>Microsoft Office Word</Application>
  <DocSecurity>0</DocSecurity>
  <Lines>44</Lines>
  <Paragraphs>12</Paragraphs>
  <ScaleCrop>false</ScaleCrop>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2026-07-16T16:10:00Z</dcterms:created>
  <dcterms:modified xsi:type="dcterms:W3CDTF">2026-07-24T15:00:00Z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