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3BE22" w14:textId="76F7D1EF" w:rsidR="007E0386" w:rsidRDefault="00234E9C" w:rsidP="00234E9C">
      <w:pPr>
        <w:jc w:val="center"/>
        <w:rPr>
          <w:b/>
          <w:bCs/>
          <w:color w:val="000000" w:themeColor="text1"/>
          <w:lang w:val="es-CO"/>
        </w:rPr>
      </w:pPr>
      <w:r w:rsidRPr="00234E9C">
        <w:rPr>
          <w:b/>
          <w:bCs/>
          <w:color w:val="000000" w:themeColor="text1"/>
          <w:lang w:val="es-CO"/>
        </w:rPr>
        <w:t xml:space="preserve">CONCEPTO No. </w:t>
      </w:r>
      <w:r w:rsidR="00994A8D">
        <w:rPr>
          <w:b/>
          <w:bCs/>
          <w:color w:val="000000" w:themeColor="text1"/>
          <w:lang w:val="es-CO"/>
        </w:rPr>
        <w:t>61</w:t>
      </w:r>
      <w:r>
        <w:rPr>
          <w:b/>
          <w:bCs/>
          <w:color w:val="000000" w:themeColor="text1"/>
          <w:lang w:val="es-CO"/>
        </w:rPr>
        <w:t xml:space="preserve"> DE 20</w:t>
      </w:r>
      <w:r w:rsidR="00994A8D">
        <w:rPr>
          <w:b/>
          <w:bCs/>
          <w:color w:val="000000" w:themeColor="text1"/>
          <w:lang w:val="es-CO"/>
        </w:rPr>
        <w:t>1</w:t>
      </w:r>
      <w:r>
        <w:rPr>
          <w:b/>
          <w:bCs/>
          <w:color w:val="000000" w:themeColor="text1"/>
          <w:lang w:val="es-CO"/>
        </w:rPr>
        <w:t>6</w:t>
      </w:r>
    </w:p>
    <w:p w14:paraId="33B46266" w14:textId="77777777" w:rsidR="00234E9C" w:rsidRDefault="00234E9C" w:rsidP="00234E9C">
      <w:pPr>
        <w:jc w:val="center"/>
        <w:rPr>
          <w:b/>
          <w:bCs/>
          <w:color w:val="000000" w:themeColor="text1"/>
          <w:lang w:val="es-CO"/>
        </w:rPr>
      </w:pPr>
    </w:p>
    <w:p w14:paraId="125C6BCE" w14:textId="50CF7164" w:rsidR="00234E9C" w:rsidRPr="00234E9C" w:rsidRDefault="00234E9C" w:rsidP="00234E9C">
      <w:pPr>
        <w:jc w:val="center"/>
        <w:rPr>
          <w:color w:val="000000" w:themeColor="text1"/>
          <w:lang w:val="es-CO"/>
        </w:rPr>
      </w:pPr>
      <w:r w:rsidRPr="00234E9C">
        <w:rPr>
          <w:color w:val="000000" w:themeColor="text1"/>
          <w:lang w:val="es-CO"/>
        </w:rPr>
        <w:t>(</w:t>
      </w:r>
      <w:r w:rsidR="00994A8D">
        <w:rPr>
          <w:color w:val="000000" w:themeColor="text1"/>
          <w:lang w:val="es-CO"/>
        </w:rPr>
        <w:t>10</w:t>
      </w:r>
      <w:r w:rsidRPr="00234E9C">
        <w:rPr>
          <w:color w:val="000000" w:themeColor="text1"/>
          <w:lang w:val="es-CO"/>
        </w:rPr>
        <w:t xml:space="preserve"> de </w:t>
      </w:r>
      <w:r w:rsidR="00994A8D">
        <w:rPr>
          <w:color w:val="000000" w:themeColor="text1"/>
          <w:lang w:val="es-CO"/>
        </w:rPr>
        <w:t>junio</w:t>
      </w:r>
      <w:r w:rsidRPr="00234E9C">
        <w:rPr>
          <w:color w:val="000000" w:themeColor="text1"/>
          <w:lang w:val="es-CO"/>
        </w:rPr>
        <w:t>)</w:t>
      </w:r>
    </w:p>
    <w:p w14:paraId="57644072" w14:textId="77777777" w:rsidR="00234E9C" w:rsidRPr="00931EB2" w:rsidRDefault="00234E9C" w:rsidP="007E0386">
      <w:pPr>
        <w:rPr>
          <w:color w:val="000000" w:themeColor="text1"/>
          <w:lang w:val="es-CO"/>
        </w:rPr>
      </w:pPr>
    </w:p>
    <w:p w14:paraId="22621544" w14:textId="075F19EE" w:rsidR="007E0386" w:rsidRPr="00EE055B" w:rsidRDefault="007E0386" w:rsidP="007E0386">
      <w:pPr>
        <w:rPr>
          <w:color w:val="000000" w:themeColor="text1"/>
          <w:lang w:val="pt-PT"/>
        </w:rPr>
      </w:pPr>
      <w:r w:rsidRPr="00EE055B">
        <w:rPr>
          <w:b/>
          <w:bCs/>
          <w:color w:val="000000" w:themeColor="text1"/>
          <w:lang w:val="pt-PT"/>
        </w:rPr>
        <w:t>Para:</w:t>
      </w:r>
      <w:r w:rsidRPr="00EE055B">
        <w:rPr>
          <w:color w:val="000000" w:themeColor="text1"/>
          <w:lang w:val="pt-PT"/>
        </w:rPr>
        <w:tab/>
      </w:r>
      <w:r w:rsidR="00986C65" w:rsidRPr="00EE055B">
        <w:rPr>
          <w:color w:val="000000" w:themeColor="text1"/>
          <w:lang w:val="pt-PT"/>
        </w:rPr>
        <w:tab/>
      </w:r>
      <w:r w:rsidR="00EE055B" w:rsidRPr="00EE055B">
        <w:rPr>
          <w:b/>
          <w:bCs/>
          <w:color w:val="000000" w:themeColor="text1"/>
          <w:lang w:val="pt-PT"/>
        </w:rPr>
        <w:t>MARTHA ROSA ALDANA C</w:t>
      </w:r>
      <w:r w:rsidR="00EE055B">
        <w:rPr>
          <w:b/>
          <w:bCs/>
          <w:color w:val="000000" w:themeColor="text1"/>
          <w:lang w:val="pt-PT"/>
        </w:rPr>
        <w:t>HAVES</w:t>
      </w:r>
    </w:p>
    <w:p w14:paraId="6D4415EC" w14:textId="34E5A8AD" w:rsidR="007E0386" w:rsidRPr="00EE055B" w:rsidRDefault="00EE055B" w:rsidP="00AF332D">
      <w:pPr>
        <w:ind w:left="1416"/>
        <w:rPr>
          <w:color w:val="000000" w:themeColor="text1"/>
          <w:lang w:val="pt-PT"/>
        </w:rPr>
      </w:pPr>
      <w:r>
        <w:rPr>
          <w:color w:val="000000" w:themeColor="text1"/>
          <w:lang w:val="pt-PT"/>
        </w:rPr>
        <w:t>Defensora de Familia – Centro Zonal Mártires – ICBF Regional Bogotá.</w:t>
      </w:r>
    </w:p>
    <w:p w14:paraId="7512F58D" w14:textId="77777777" w:rsidR="00AF332D" w:rsidRPr="00EE055B" w:rsidRDefault="00AF332D" w:rsidP="00861D97">
      <w:pPr>
        <w:ind w:left="1416" w:hanging="1416"/>
        <w:jc w:val="both"/>
        <w:rPr>
          <w:b/>
          <w:bCs/>
          <w:color w:val="000000" w:themeColor="text1"/>
          <w:lang w:val="pt-PT"/>
        </w:rPr>
      </w:pPr>
    </w:p>
    <w:p w14:paraId="6809EB3A" w14:textId="5033C510" w:rsidR="007E0386" w:rsidRPr="00A74479" w:rsidRDefault="007E0386" w:rsidP="00A74479">
      <w:pPr>
        <w:ind w:left="1416" w:hanging="1416"/>
        <w:jc w:val="both"/>
      </w:pPr>
      <w:r w:rsidRPr="00931EB2">
        <w:rPr>
          <w:b/>
          <w:bCs/>
          <w:color w:val="000000" w:themeColor="text1"/>
          <w:lang w:val="es-CO"/>
        </w:rPr>
        <w:t>Asunto:</w:t>
      </w:r>
      <w:r w:rsidRPr="00931EB2">
        <w:rPr>
          <w:color w:val="000000" w:themeColor="text1"/>
          <w:lang w:val="es-CO"/>
        </w:rPr>
        <w:tab/>
      </w:r>
      <w:r w:rsidR="00994A8D">
        <w:t>Reiteración de respuesta a la solicitud de concepto referente a la autorización de enajenación de bienes de menores de edad por vía notarial.</w:t>
      </w:r>
    </w:p>
    <w:p w14:paraId="29F450F6" w14:textId="77777777" w:rsidR="007E0386" w:rsidRPr="00931EB2" w:rsidRDefault="007E0386" w:rsidP="007E0386">
      <w:pPr>
        <w:rPr>
          <w:color w:val="000000" w:themeColor="text1"/>
          <w:lang w:val="es-CO"/>
        </w:rPr>
      </w:pPr>
    </w:p>
    <w:p w14:paraId="76ECC048" w14:textId="2778E3A0" w:rsidR="00994A8D" w:rsidRDefault="00994A8D" w:rsidP="00FC10AA">
      <w:pPr>
        <w:spacing w:after="160" w:line="240" w:lineRule="auto"/>
        <w:jc w:val="both"/>
      </w:pPr>
      <w:r>
        <w:t>De manera atenta, en relación con el asunto de la referencia, y habiendo sido absuelta su consulta previamente, mediante concepto de 25 de abril de 2016, se reitera la respuesta en los términos previstos en el artículo 26 del Código Civil, la Ley 1755 de 2015, así como en el artículo 6º, numeral 4 del Decreto 987 de 2012, se responde la solicitud de concepto respecto del asunto en cuestión, en los términos que siguen:</w:t>
      </w:r>
    </w:p>
    <w:p w14:paraId="6D643616" w14:textId="77777777" w:rsidR="00994A8D" w:rsidRDefault="00994A8D" w:rsidP="00FC10AA">
      <w:pPr>
        <w:spacing w:after="160" w:line="240" w:lineRule="auto"/>
        <w:jc w:val="both"/>
      </w:pPr>
    </w:p>
    <w:p w14:paraId="5160EB79" w14:textId="313D6E9B" w:rsidR="001D61A6" w:rsidRPr="00994A8D" w:rsidRDefault="00994A8D" w:rsidP="00994A8D">
      <w:pPr>
        <w:pStyle w:val="Prrafodelista"/>
        <w:numPr>
          <w:ilvl w:val="0"/>
          <w:numId w:val="14"/>
        </w:numPr>
        <w:spacing w:after="160" w:line="240" w:lineRule="auto"/>
        <w:jc w:val="center"/>
        <w:rPr>
          <w:b/>
          <w:bCs/>
        </w:rPr>
      </w:pPr>
      <w:r>
        <w:rPr>
          <w:b/>
          <w:bCs/>
        </w:rPr>
        <w:t>PROBLEMA JURÍDICO</w:t>
      </w:r>
    </w:p>
    <w:p w14:paraId="172CF7DD" w14:textId="634BD8D5" w:rsidR="001D61A6" w:rsidRPr="00FD6245" w:rsidRDefault="00994A8D" w:rsidP="00FC10AA">
      <w:pPr>
        <w:spacing w:after="160" w:line="240" w:lineRule="auto"/>
        <w:jc w:val="both"/>
      </w:pPr>
      <w:r>
        <w:t>En su solicitud original preguntaba si es obligatorio para el Defensor de Familia el procedimiento a seguir en el trámite de enajenación de bienes inmuebles de propiedad de menores de edad, previsto en el Decreto 1664 de 2015 y si es aplicable o excluyente el trámite del artículo 581 del Código General del Proceso. Reitera su consulta, preguntando si habiendo iniciado la solicitud de autorización de enajenación ante la jurisdicción, y quedando pendiente la subasta pública del inmueble, el Defensor de Familia debe asumir la solicitud o abstenerse para que continúe por vía judicial.</w:t>
      </w:r>
    </w:p>
    <w:p w14:paraId="332D8964" w14:textId="4D19B7CB" w:rsidR="001D61A6" w:rsidRPr="00FD6245" w:rsidRDefault="00994A8D" w:rsidP="00994A8D">
      <w:pPr>
        <w:spacing w:after="160" w:line="240" w:lineRule="auto"/>
        <w:jc w:val="center"/>
        <w:rPr>
          <w:b/>
          <w:bCs/>
        </w:rPr>
      </w:pPr>
      <w:r>
        <w:rPr>
          <w:b/>
          <w:bCs/>
        </w:rPr>
        <w:t>2. ANÁLISIS DEL PROBLEMA JURÍDICO</w:t>
      </w:r>
    </w:p>
    <w:p w14:paraId="0AB35192" w14:textId="40886FCA" w:rsidR="0003236C" w:rsidRDefault="00994A8D" w:rsidP="00FC10AA">
      <w:pPr>
        <w:spacing w:line="240" w:lineRule="auto"/>
        <w:jc w:val="both"/>
      </w:pPr>
      <w:r>
        <w:t>Metodológicamente, el presente concepto se atiene a lo expuesto en el que previamente le fuera contestada su consulta, emitido el 25 de abril de 2016 y hace un breve comentario en el sentido de lo ya analizado en dicho concepto, así:</w:t>
      </w:r>
    </w:p>
    <w:p w14:paraId="3CB2E110" w14:textId="77777777" w:rsidR="00994A8D" w:rsidRDefault="00994A8D" w:rsidP="00FC10AA">
      <w:pPr>
        <w:spacing w:line="240" w:lineRule="auto"/>
        <w:jc w:val="both"/>
      </w:pPr>
    </w:p>
    <w:p w14:paraId="0F0A56F2" w14:textId="0E192E64" w:rsidR="00994A8D" w:rsidRPr="00994A8D" w:rsidRDefault="00994A8D" w:rsidP="00FC10AA">
      <w:pPr>
        <w:spacing w:line="240" w:lineRule="auto"/>
        <w:jc w:val="both"/>
        <w:rPr>
          <w:b/>
          <w:bCs/>
          <w:u w:val="single"/>
        </w:rPr>
      </w:pPr>
      <w:r w:rsidRPr="00994A8D">
        <w:rPr>
          <w:b/>
          <w:bCs/>
          <w:u w:val="single"/>
        </w:rPr>
        <w:t>2.1. El trámite judicial es paralelo e independiente del trámite notarial y el Defensor de Familia actúa en el trámite jurisdiccional en la medida en que el juez lo requiera.</w:t>
      </w:r>
    </w:p>
    <w:p w14:paraId="69B61DBC" w14:textId="77777777" w:rsidR="002D224A" w:rsidRPr="00FD6245" w:rsidRDefault="002D224A" w:rsidP="00FC10AA">
      <w:pPr>
        <w:spacing w:line="240" w:lineRule="auto"/>
        <w:jc w:val="both"/>
      </w:pPr>
    </w:p>
    <w:p w14:paraId="289F7587" w14:textId="77777777" w:rsidR="00DA503D" w:rsidRDefault="00DA503D" w:rsidP="00FC10AA">
      <w:pPr>
        <w:spacing w:line="240" w:lineRule="auto"/>
        <w:rPr>
          <w:b/>
          <w:bCs/>
        </w:rPr>
      </w:pPr>
    </w:p>
    <w:p w14:paraId="7C1C8DFD" w14:textId="4B692593" w:rsidR="00CB4954" w:rsidRDefault="00994A8D" w:rsidP="00E1357B">
      <w:pPr>
        <w:spacing w:line="240" w:lineRule="auto"/>
        <w:jc w:val="both"/>
        <w:rPr>
          <w:color w:val="000000" w:themeColor="text1"/>
          <w:lang w:val="es-CO"/>
        </w:rPr>
      </w:pPr>
      <w:r>
        <w:rPr>
          <w:color w:val="000000" w:themeColor="text1"/>
          <w:lang w:val="es-CO"/>
        </w:rPr>
        <w:t xml:space="preserve">Teniendo en cuenta como antecedente jurídico la respuesta que previamente se le diera a su solicitud, mediante concepto de 25 de abril de 2016, sólo basta recalcar que siendo las vías judicial y notarial, rutas alternativas y paralelas, para el desarrollo de la enajenación de bienes inmuebles de menores de edad, es la voluntad del solicitante </w:t>
      </w:r>
      <w:r w:rsidR="00E1357B">
        <w:rPr>
          <w:color w:val="000000" w:themeColor="text1"/>
          <w:lang w:val="es-CO"/>
        </w:rPr>
        <w:t xml:space="preserve">la que prima para escoger cuál de las dos se activa y a qué autoridad se </w:t>
      </w:r>
      <w:r w:rsidR="00E1357B">
        <w:rPr>
          <w:color w:val="000000" w:themeColor="text1"/>
          <w:lang w:val="es-CO"/>
        </w:rPr>
        <w:lastRenderedPageBreak/>
        <w:t>recurre, por lo que de haberse iniciado el trámite por vía judicial, dicho trámite deberá discurrir dentro de los términos del Código General del Proceso y el Defensor de Familia deberá atender los requerimientos que el juez de conocimiento le haga, dentro de los momentos procesales correspondientes.</w:t>
      </w:r>
    </w:p>
    <w:p w14:paraId="14F5A6F9" w14:textId="77777777" w:rsidR="00E1357B" w:rsidRDefault="00E1357B" w:rsidP="00E1357B">
      <w:pPr>
        <w:spacing w:line="240" w:lineRule="auto"/>
        <w:jc w:val="both"/>
        <w:rPr>
          <w:color w:val="000000" w:themeColor="text1"/>
          <w:lang w:val="es-CO"/>
        </w:rPr>
      </w:pPr>
    </w:p>
    <w:p w14:paraId="16DE6599" w14:textId="5BFCCFCE" w:rsidR="00E1357B" w:rsidRDefault="00E1357B" w:rsidP="00E1357B">
      <w:pPr>
        <w:spacing w:line="240" w:lineRule="auto"/>
        <w:jc w:val="both"/>
        <w:rPr>
          <w:color w:val="000000" w:themeColor="text1"/>
          <w:lang w:val="es-CO"/>
        </w:rPr>
      </w:pPr>
      <w:r>
        <w:rPr>
          <w:color w:val="000000" w:themeColor="text1"/>
          <w:lang w:val="es-CO"/>
        </w:rPr>
        <w:t>En tal sentido, la vía notarial y la solicitud de que la autorización de enajenación se prevé para la misma, queda descartada y todo el trámite se desarrollará en sede judicial, tal como lo prevé la mencionada ley.</w:t>
      </w:r>
    </w:p>
    <w:p w14:paraId="481CECD6" w14:textId="77777777" w:rsidR="00E1357B" w:rsidRDefault="00E1357B" w:rsidP="00E1357B">
      <w:pPr>
        <w:spacing w:line="240" w:lineRule="auto"/>
        <w:jc w:val="both"/>
        <w:rPr>
          <w:color w:val="000000" w:themeColor="text1"/>
          <w:lang w:val="es-CO"/>
        </w:rPr>
      </w:pPr>
    </w:p>
    <w:p w14:paraId="33086823" w14:textId="77777777" w:rsidR="00E1357B" w:rsidRDefault="00E1357B" w:rsidP="00E1357B">
      <w:pPr>
        <w:spacing w:line="240" w:lineRule="auto"/>
        <w:jc w:val="both"/>
        <w:rPr>
          <w:color w:val="000000" w:themeColor="text1"/>
          <w:lang w:val="es-CO"/>
        </w:rPr>
      </w:pPr>
    </w:p>
    <w:p w14:paraId="7D72E718" w14:textId="3277DAFC" w:rsidR="00E1357B" w:rsidRPr="00E1357B" w:rsidRDefault="00E1357B" w:rsidP="00E1357B">
      <w:pPr>
        <w:pStyle w:val="Prrafodelista"/>
        <w:numPr>
          <w:ilvl w:val="0"/>
          <w:numId w:val="15"/>
        </w:numPr>
        <w:spacing w:line="240" w:lineRule="auto"/>
        <w:jc w:val="center"/>
        <w:rPr>
          <w:b/>
          <w:bCs/>
          <w:color w:val="000000" w:themeColor="text1"/>
          <w:lang w:val="es-CO"/>
        </w:rPr>
      </w:pPr>
      <w:r w:rsidRPr="00E1357B">
        <w:rPr>
          <w:b/>
          <w:bCs/>
          <w:color w:val="000000" w:themeColor="text1"/>
          <w:lang w:val="es-CO"/>
        </w:rPr>
        <w:t>CONCLUSIÓN</w:t>
      </w:r>
    </w:p>
    <w:p w14:paraId="7132C66B" w14:textId="77777777" w:rsidR="00E1357B" w:rsidRPr="00E1357B" w:rsidRDefault="00E1357B" w:rsidP="00E1357B">
      <w:pPr>
        <w:spacing w:line="240" w:lineRule="auto"/>
        <w:jc w:val="both"/>
        <w:rPr>
          <w:color w:val="000000" w:themeColor="text1"/>
          <w:lang w:val="es-CO"/>
        </w:rPr>
      </w:pPr>
    </w:p>
    <w:p w14:paraId="1DC4B06C" w14:textId="6377DA83" w:rsidR="00A94360" w:rsidRDefault="00E1357B" w:rsidP="00E1357B">
      <w:pPr>
        <w:spacing w:line="240" w:lineRule="auto"/>
        <w:jc w:val="both"/>
        <w:rPr>
          <w:color w:val="000000" w:themeColor="text1"/>
          <w:lang w:val="es-CO"/>
        </w:rPr>
      </w:pPr>
      <w:r>
        <w:rPr>
          <w:color w:val="000000" w:themeColor="text1"/>
          <w:lang w:val="es-CO"/>
        </w:rPr>
        <w:t>En los términos del Decreto 1664 de 2015, en su artículo 2.2.6.15.2.1.2, es claro que los trámites notarial y jurisdiccional de solicitud de autorización de enajenación de bienes inmuebles de propiedad de menores de edad son procedimientos indispensables y excluyentes, una vez el particular decide seguir uno de los dos. Así, si el trámite elegido es el judicial, el Defensor de Familia debe atenerse a sus facultades de participación ante la jurisdicción de Familia en los precisos términos que prevé la Ley 1098 de 2006.</w:t>
      </w:r>
    </w:p>
    <w:p w14:paraId="05548E53" w14:textId="77777777" w:rsidR="00E1357B" w:rsidRDefault="00E1357B" w:rsidP="00FC10AA">
      <w:pPr>
        <w:spacing w:line="240" w:lineRule="auto"/>
        <w:rPr>
          <w:color w:val="000000" w:themeColor="text1"/>
          <w:lang w:val="es-CO"/>
        </w:rPr>
      </w:pPr>
    </w:p>
    <w:p w14:paraId="3B8174DF" w14:textId="028A65BE" w:rsidR="00E1357B" w:rsidRDefault="00E1357B" w:rsidP="00E1357B">
      <w:pPr>
        <w:spacing w:line="240" w:lineRule="auto"/>
        <w:jc w:val="both"/>
        <w:rPr>
          <w:color w:val="000000" w:themeColor="text1"/>
          <w:lang w:val="es-CO"/>
        </w:rPr>
      </w:pPr>
      <w:r>
        <w:rPr>
          <w:color w:val="000000" w:themeColor="text1"/>
          <w:lang w:val="es-CO"/>
        </w:rPr>
        <w:t>Segundo, y reiterando que la ley del procedimiento reconoce la coexistencia de dos vías para tramitar la solicitud de autorización de enajenación de dichos bienes: la jurisdiccional y la notarial, el solicitante es quien determina cuál de esos trámites se desarrollará, no obstante la competencia que tienen los jueces de Familia para conocer de dichas autorizaciones en caso de existir controversias en la sede notarial o de darse un concepto negativo por parte del Defensor de Familia o del Personero Municipal. Tanto las normas del Código General del Proceso como las del Decreto 1664 de 2015 son aplicables y vinculantes.</w:t>
      </w:r>
    </w:p>
    <w:p w14:paraId="1C6FA253" w14:textId="77777777" w:rsidR="00E1357B" w:rsidRDefault="00E1357B" w:rsidP="00E1357B">
      <w:pPr>
        <w:spacing w:line="240" w:lineRule="auto"/>
        <w:jc w:val="both"/>
        <w:rPr>
          <w:color w:val="000000" w:themeColor="text1"/>
          <w:lang w:val="es-CO"/>
        </w:rPr>
      </w:pPr>
    </w:p>
    <w:p w14:paraId="3D70E504" w14:textId="166769D1" w:rsidR="00DB125C" w:rsidRDefault="00DB125C" w:rsidP="00E1357B">
      <w:pPr>
        <w:spacing w:line="240" w:lineRule="auto"/>
        <w:jc w:val="both"/>
        <w:rPr>
          <w:color w:val="000000" w:themeColor="text1"/>
          <w:lang w:val="es-CO"/>
        </w:rPr>
      </w:pPr>
      <w:r>
        <w:rPr>
          <w:color w:val="000000" w:themeColor="text1"/>
          <w:lang w:val="es-CO"/>
        </w:rPr>
        <w:t xml:space="preserve">Por último, es preciso indicar que el presente concepto no es de obligatorio cumplimiento o ejecución para particulares o agentes externos, de conformidad con lo establecido en la Ley 1755 de 2015. No </w:t>
      </w:r>
      <w:proofErr w:type="gramStart"/>
      <w:r>
        <w:rPr>
          <w:color w:val="000000" w:themeColor="text1"/>
          <w:lang w:val="es-CO"/>
        </w:rPr>
        <w:t>obstante</w:t>
      </w:r>
      <w:proofErr w:type="gramEnd"/>
      <w:r>
        <w:rPr>
          <w:color w:val="000000" w:themeColor="text1"/>
          <w:lang w:val="es-CO"/>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48A2CDB2" w14:textId="77777777" w:rsidR="00DB125C" w:rsidRDefault="00DB125C" w:rsidP="00E1357B">
      <w:pPr>
        <w:spacing w:line="240" w:lineRule="auto"/>
        <w:jc w:val="both"/>
        <w:rPr>
          <w:color w:val="000000" w:themeColor="text1"/>
          <w:lang w:val="es-CO"/>
        </w:rPr>
      </w:pPr>
    </w:p>
    <w:p w14:paraId="0160D6FD" w14:textId="1974F856" w:rsidR="00DB125C" w:rsidRPr="00DB125C" w:rsidRDefault="00DB125C" w:rsidP="00E1357B">
      <w:pPr>
        <w:spacing w:line="240" w:lineRule="auto"/>
        <w:jc w:val="both"/>
        <w:rPr>
          <w:color w:val="000000" w:themeColor="text1"/>
          <w:lang w:val="pt-PT"/>
        </w:rPr>
      </w:pPr>
      <w:r w:rsidRPr="00DB125C">
        <w:rPr>
          <w:color w:val="000000" w:themeColor="text1"/>
          <w:lang w:val="pt-PT"/>
        </w:rPr>
        <w:t>Cordialmente,</w:t>
      </w:r>
    </w:p>
    <w:p w14:paraId="2CC46E41" w14:textId="77777777" w:rsidR="00E1357B" w:rsidRPr="00DB125C" w:rsidRDefault="00E1357B" w:rsidP="00FC10AA">
      <w:pPr>
        <w:spacing w:line="240" w:lineRule="auto"/>
        <w:rPr>
          <w:color w:val="000000" w:themeColor="text1"/>
          <w:lang w:val="pt-PT"/>
        </w:rPr>
      </w:pPr>
    </w:p>
    <w:p w14:paraId="62350B1A" w14:textId="77777777" w:rsidR="00986C65" w:rsidRPr="00DB125C" w:rsidRDefault="00986C65" w:rsidP="00FC10AA">
      <w:pPr>
        <w:spacing w:line="240" w:lineRule="auto"/>
        <w:jc w:val="both"/>
        <w:rPr>
          <w:rFonts w:cs="Arial"/>
          <w:b/>
          <w:color w:val="000000" w:themeColor="text1"/>
          <w:lang w:val="pt-PT"/>
        </w:rPr>
      </w:pPr>
    </w:p>
    <w:p w14:paraId="4383FE43" w14:textId="77777777" w:rsidR="00E1357B" w:rsidRPr="00DB125C" w:rsidRDefault="00E1357B" w:rsidP="00FC10AA">
      <w:pPr>
        <w:spacing w:line="240" w:lineRule="auto"/>
        <w:jc w:val="both"/>
        <w:rPr>
          <w:rFonts w:cs="Arial"/>
          <w:b/>
          <w:color w:val="000000" w:themeColor="text1"/>
          <w:lang w:val="pt-PT"/>
        </w:rPr>
      </w:pPr>
    </w:p>
    <w:p w14:paraId="5175E096" w14:textId="77777777" w:rsidR="00E1357B" w:rsidRPr="00DB125C" w:rsidRDefault="00E1357B" w:rsidP="00FC10AA">
      <w:pPr>
        <w:spacing w:line="240" w:lineRule="auto"/>
        <w:jc w:val="both"/>
        <w:rPr>
          <w:rFonts w:cs="Arial"/>
          <w:b/>
          <w:color w:val="000000" w:themeColor="text1"/>
          <w:lang w:val="pt-PT"/>
        </w:rPr>
      </w:pPr>
    </w:p>
    <w:p w14:paraId="4899CB86" w14:textId="6A98DC38" w:rsidR="00986C65" w:rsidRPr="00DB125C" w:rsidRDefault="00DB125C" w:rsidP="00FC10AA">
      <w:pPr>
        <w:spacing w:line="240" w:lineRule="auto"/>
        <w:jc w:val="both"/>
        <w:rPr>
          <w:rFonts w:cs="Arial"/>
          <w:b/>
          <w:color w:val="000000" w:themeColor="text1"/>
          <w:lang w:val="es-CO"/>
        </w:rPr>
      </w:pPr>
      <w:r w:rsidRPr="00DB125C">
        <w:rPr>
          <w:rFonts w:cs="Arial"/>
          <w:b/>
          <w:color w:val="000000" w:themeColor="text1"/>
          <w:lang w:val="es-CO"/>
        </w:rPr>
        <w:t>LUZ KARIME FERNÁNDEZ CASTILLO</w:t>
      </w:r>
    </w:p>
    <w:p w14:paraId="4973A729" w14:textId="06853841" w:rsidR="00986C65" w:rsidRPr="00A94360" w:rsidRDefault="004619CC" w:rsidP="00DB125C">
      <w:pPr>
        <w:spacing w:line="240" w:lineRule="auto"/>
        <w:jc w:val="both"/>
        <w:rPr>
          <w:rFonts w:cs="Arial"/>
          <w:color w:val="000000" w:themeColor="text1"/>
          <w:sz w:val="16"/>
          <w:szCs w:val="16"/>
        </w:rPr>
      </w:pPr>
      <w:r w:rsidRPr="00931EB2">
        <w:rPr>
          <w:rFonts w:cs="Arial"/>
          <w:color w:val="000000" w:themeColor="text1"/>
        </w:rPr>
        <w:t>Jefe</w:t>
      </w:r>
      <w:r w:rsidR="003B379F">
        <w:rPr>
          <w:rFonts w:cs="Arial"/>
          <w:color w:val="000000" w:themeColor="text1"/>
        </w:rPr>
        <w:t xml:space="preserve"> </w:t>
      </w:r>
      <w:r w:rsidRPr="00931EB2">
        <w:rPr>
          <w:rFonts w:cs="Arial"/>
          <w:color w:val="000000" w:themeColor="text1"/>
        </w:rPr>
        <w:t>Oficina</w:t>
      </w:r>
      <w:r w:rsidR="00DB125C">
        <w:rPr>
          <w:rFonts w:cs="Arial"/>
          <w:color w:val="000000" w:themeColor="text1"/>
        </w:rPr>
        <w:t xml:space="preserve"> Asesora</w:t>
      </w:r>
      <w:r w:rsidR="003B379F">
        <w:rPr>
          <w:rFonts w:cs="Arial"/>
          <w:color w:val="000000" w:themeColor="text1"/>
        </w:rPr>
        <w:t xml:space="preserve"> </w:t>
      </w:r>
      <w:r w:rsidRPr="00931EB2">
        <w:rPr>
          <w:rFonts w:cs="Arial"/>
          <w:color w:val="000000" w:themeColor="text1"/>
        </w:rPr>
        <w:t>Jurídica</w:t>
      </w:r>
    </w:p>
    <w:sectPr w:rsidR="00986C65" w:rsidRPr="00A94360" w:rsidSect="00234E9C">
      <w:footerReference w:type="default" r:id="rId11"/>
      <w:pgSz w:w="12240" w:h="15840" w:code="1"/>
      <w:pgMar w:top="1560" w:right="1134" w:bottom="1843" w:left="1701" w:header="1531" w:footer="8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E1F8D" w14:textId="77777777" w:rsidR="00E64769" w:rsidRDefault="00E64769" w:rsidP="00B92FB1">
      <w:pPr>
        <w:spacing w:line="240" w:lineRule="auto"/>
      </w:pPr>
      <w:r>
        <w:separator/>
      </w:r>
    </w:p>
  </w:endnote>
  <w:endnote w:type="continuationSeparator" w:id="0">
    <w:p w14:paraId="4693B63E" w14:textId="77777777" w:rsidR="00E64769" w:rsidRDefault="00E64769" w:rsidP="00B92F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AA5E3" w14:textId="65A3951F" w:rsidR="00B92FB1" w:rsidRDefault="00B92FB1" w:rsidP="00B92FB1">
    <w:pPr>
      <w:spacing w:line="240" w:lineRule="auto"/>
    </w:pPr>
    <w:r>
      <w:t xml:space="preserve">                                              </w:t>
    </w:r>
  </w:p>
  <w:p w14:paraId="246AF2BF" w14:textId="77777777" w:rsidR="00B92FB1" w:rsidRDefault="00B92FB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E0371" w14:textId="77777777" w:rsidR="00E64769" w:rsidRDefault="00E64769" w:rsidP="00B92FB1">
      <w:pPr>
        <w:spacing w:line="240" w:lineRule="auto"/>
      </w:pPr>
      <w:r>
        <w:separator/>
      </w:r>
    </w:p>
  </w:footnote>
  <w:footnote w:type="continuationSeparator" w:id="0">
    <w:p w14:paraId="1D5D6839" w14:textId="77777777" w:rsidR="00E64769" w:rsidRDefault="00E64769" w:rsidP="00B92FB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8070D"/>
    <w:multiLevelType w:val="hybridMultilevel"/>
    <w:tmpl w:val="59FA22C8"/>
    <w:lvl w:ilvl="0" w:tplc="A5A0601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1E17F97"/>
    <w:multiLevelType w:val="multilevel"/>
    <w:tmpl w:val="538800E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9E505E"/>
    <w:multiLevelType w:val="multilevel"/>
    <w:tmpl w:val="E67CE4E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D05064"/>
    <w:multiLevelType w:val="multilevel"/>
    <w:tmpl w:val="9C1C4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7F3444"/>
    <w:multiLevelType w:val="multilevel"/>
    <w:tmpl w:val="9DA2F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DF11A6"/>
    <w:multiLevelType w:val="multilevel"/>
    <w:tmpl w:val="83E69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8E174B"/>
    <w:multiLevelType w:val="multilevel"/>
    <w:tmpl w:val="97FC1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F87589"/>
    <w:multiLevelType w:val="hybridMultilevel"/>
    <w:tmpl w:val="659ED9EE"/>
    <w:lvl w:ilvl="0" w:tplc="240A000F">
      <w:start w:val="3"/>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6421F79"/>
    <w:multiLevelType w:val="hybridMultilevel"/>
    <w:tmpl w:val="501CACA2"/>
    <w:lvl w:ilvl="0" w:tplc="A5A0601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72813C3"/>
    <w:multiLevelType w:val="hybridMultilevel"/>
    <w:tmpl w:val="C5D4FE3E"/>
    <w:lvl w:ilvl="0" w:tplc="61EC0D44">
      <w:start w:val="1"/>
      <w:numFmt w:val="upperRoman"/>
      <w:lvlText w:val="%1."/>
      <w:lvlJc w:val="left"/>
      <w:pPr>
        <w:ind w:left="1080" w:hanging="720"/>
      </w:pPr>
      <w:rPr>
        <w:rFonts w:hint="default"/>
      </w:rPr>
    </w:lvl>
    <w:lvl w:ilvl="1" w:tplc="F48E6F2E">
      <w:start w:val="1"/>
      <w:numFmt w:val="decimal"/>
      <w:lvlText w:val="%2."/>
      <w:lvlJc w:val="left"/>
      <w:pPr>
        <w:ind w:left="1780" w:hanging="70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B095147"/>
    <w:multiLevelType w:val="hybridMultilevel"/>
    <w:tmpl w:val="03007434"/>
    <w:lvl w:ilvl="0" w:tplc="A288BA0C">
      <w:start w:val="1"/>
      <w:numFmt w:val="decimal"/>
      <w:lvlText w:val="%1."/>
      <w:lvlJc w:val="left"/>
      <w:pPr>
        <w:ind w:left="1060" w:hanging="70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0EB6EFE"/>
    <w:multiLevelType w:val="multilevel"/>
    <w:tmpl w:val="97587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B2B321D"/>
    <w:multiLevelType w:val="hybridMultilevel"/>
    <w:tmpl w:val="2F16ACD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6D3977D0"/>
    <w:multiLevelType w:val="multilevel"/>
    <w:tmpl w:val="88DCE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E527F22"/>
    <w:multiLevelType w:val="hybridMultilevel"/>
    <w:tmpl w:val="ED3A8BF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589581606">
    <w:abstractNumId w:val="9"/>
  </w:num>
  <w:num w:numId="2" w16cid:durableId="1621454396">
    <w:abstractNumId w:val="0"/>
  </w:num>
  <w:num w:numId="3" w16cid:durableId="2013019865">
    <w:abstractNumId w:val="8"/>
  </w:num>
  <w:num w:numId="4" w16cid:durableId="649137200">
    <w:abstractNumId w:val="10"/>
  </w:num>
  <w:num w:numId="5" w16cid:durableId="1595671944">
    <w:abstractNumId w:val="13"/>
  </w:num>
  <w:num w:numId="6" w16cid:durableId="1858539160">
    <w:abstractNumId w:val="11"/>
  </w:num>
  <w:num w:numId="7" w16cid:durableId="2124761392">
    <w:abstractNumId w:val="14"/>
  </w:num>
  <w:num w:numId="8" w16cid:durableId="2126536788">
    <w:abstractNumId w:val="5"/>
  </w:num>
  <w:num w:numId="9" w16cid:durableId="840971067">
    <w:abstractNumId w:val="6"/>
  </w:num>
  <w:num w:numId="10" w16cid:durableId="61876737">
    <w:abstractNumId w:val="2"/>
  </w:num>
  <w:num w:numId="11" w16cid:durableId="909385993">
    <w:abstractNumId w:val="3"/>
  </w:num>
  <w:num w:numId="12" w16cid:durableId="102388822">
    <w:abstractNumId w:val="1"/>
  </w:num>
  <w:num w:numId="13" w16cid:durableId="796995276">
    <w:abstractNumId w:val="4"/>
  </w:num>
  <w:num w:numId="14" w16cid:durableId="1757900967">
    <w:abstractNumId w:val="12"/>
  </w:num>
  <w:num w:numId="15" w16cid:durableId="5351224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507"/>
    <w:rsid w:val="00005A55"/>
    <w:rsid w:val="00016B2B"/>
    <w:rsid w:val="0003236C"/>
    <w:rsid w:val="0003682A"/>
    <w:rsid w:val="00041D6F"/>
    <w:rsid w:val="000536D7"/>
    <w:rsid w:val="00054A6B"/>
    <w:rsid w:val="00066625"/>
    <w:rsid w:val="00067325"/>
    <w:rsid w:val="00096FEA"/>
    <w:rsid w:val="00097571"/>
    <w:rsid w:val="000A2442"/>
    <w:rsid w:val="000C3941"/>
    <w:rsid w:val="000C3EA3"/>
    <w:rsid w:val="000D1BE7"/>
    <w:rsid w:val="0010387F"/>
    <w:rsid w:val="001043D0"/>
    <w:rsid w:val="001119CD"/>
    <w:rsid w:val="00120D50"/>
    <w:rsid w:val="001230E4"/>
    <w:rsid w:val="0015743A"/>
    <w:rsid w:val="001614AD"/>
    <w:rsid w:val="00175FAA"/>
    <w:rsid w:val="00191846"/>
    <w:rsid w:val="001919C6"/>
    <w:rsid w:val="001A0287"/>
    <w:rsid w:val="001C242B"/>
    <w:rsid w:val="001C5706"/>
    <w:rsid w:val="001D4D60"/>
    <w:rsid w:val="001D61A6"/>
    <w:rsid w:val="0020559A"/>
    <w:rsid w:val="00230FDD"/>
    <w:rsid w:val="00234E9C"/>
    <w:rsid w:val="00236087"/>
    <w:rsid w:val="00236C9E"/>
    <w:rsid w:val="00244417"/>
    <w:rsid w:val="00244D3D"/>
    <w:rsid w:val="0024678E"/>
    <w:rsid w:val="00274AEB"/>
    <w:rsid w:val="00277F79"/>
    <w:rsid w:val="00294C02"/>
    <w:rsid w:val="002C0ABC"/>
    <w:rsid w:val="002C64B3"/>
    <w:rsid w:val="002D224A"/>
    <w:rsid w:val="002D672B"/>
    <w:rsid w:val="002F0AC6"/>
    <w:rsid w:val="00322184"/>
    <w:rsid w:val="00322466"/>
    <w:rsid w:val="003402CD"/>
    <w:rsid w:val="00362A44"/>
    <w:rsid w:val="00380C8A"/>
    <w:rsid w:val="0038262F"/>
    <w:rsid w:val="00383B97"/>
    <w:rsid w:val="00397C60"/>
    <w:rsid w:val="003A1851"/>
    <w:rsid w:val="003B10D4"/>
    <w:rsid w:val="003B379F"/>
    <w:rsid w:val="003C2C40"/>
    <w:rsid w:val="003D5CBF"/>
    <w:rsid w:val="003F4E57"/>
    <w:rsid w:val="00404F59"/>
    <w:rsid w:val="0044126D"/>
    <w:rsid w:val="0044391C"/>
    <w:rsid w:val="004439CF"/>
    <w:rsid w:val="004554AF"/>
    <w:rsid w:val="004619CC"/>
    <w:rsid w:val="004702ED"/>
    <w:rsid w:val="004742EF"/>
    <w:rsid w:val="00482642"/>
    <w:rsid w:val="00490F50"/>
    <w:rsid w:val="004C21C8"/>
    <w:rsid w:val="004E462F"/>
    <w:rsid w:val="004E5577"/>
    <w:rsid w:val="005300F0"/>
    <w:rsid w:val="00535C0C"/>
    <w:rsid w:val="00541CC4"/>
    <w:rsid w:val="00552D6D"/>
    <w:rsid w:val="00553045"/>
    <w:rsid w:val="005602D3"/>
    <w:rsid w:val="0057524B"/>
    <w:rsid w:val="00590B84"/>
    <w:rsid w:val="005A3D82"/>
    <w:rsid w:val="005A7572"/>
    <w:rsid w:val="005D12FB"/>
    <w:rsid w:val="005D4C82"/>
    <w:rsid w:val="005D7D30"/>
    <w:rsid w:val="005F6FD3"/>
    <w:rsid w:val="006008E8"/>
    <w:rsid w:val="006179EA"/>
    <w:rsid w:val="00621E1D"/>
    <w:rsid w:val="0064317B"/>
    <w:rsid w:val="00647110"/>
    <w:rsid w:val="00660155"/>
    <w:rsid w:val="006624DB"/>
    <w:rsid w:val="006675EC"/>
    <w:rsid w:val="006A7B38"/>
    <w:rsid w:val="006B1159"/>
    <w:rsid w:val="006C70EF"/>
    <w:rsid w:val="006C7934"/>
    <w:rsid w:val="006D14E8"/>
    <w:rsid w:val="006D3346"/>
    <w:rsid w:val="006D475E"/>
    <w:rsid w:val="006D7672"/>
    <w:rsid w:val="006F669E"/>
    <w:rsid w:val="00701963"/>
    <w:rsid w:val="007148BE"/>
    <w:rsid w:val="00734943"/>
    <w:rsid w:val="0074645C"/>
    <w:rsid w:val="00771492"/>
    <w:rsid w:val="00780CFA"/>
    <w:rsid w:val="007A7694"/>
    <w:rsid w:val="007A7FF0"/>
    <w:rsid w:val="007B738D"/>
    <w:rsid w:val="007C66FB"/>
    <w:rsid w:val="007D0953"/>
    <w:rsid w:val="007E0386"/>
    <w:rsid w:val="007F654B"/>
    <w:rsid w:val="00812ED6"/>
    <w:rsid w:val="0084493A"/>
    <w:rsid w:val="00852245"/>
    <w:rsid w:val="00855DC1"/>
    <w:rsid w:val="00861D97"/>
    <w:rsid w:val="00865035"/>
    <w:rsid w:val="008711E7"/>
    <w:rsid w:val="008947EA"/>
    <w:rsid w:val="00895280"/>
    <w:rsid w:val="008D21C6"/>
    <w:rsid w:val="008D72EC"/>
    <w:rsid w:val="008E1DA6"/>
    <w:rsid w:val="008F019D"/>
    <w:rsid w:val="00915363"/>
    <w:rsid w:val="00917A00"/>
    <w:rsid w:val="00931EB2"/>
    <w:rsid w:val="00942999"/>
    <w:rsid w:val="00947CE0"/>
    <w:rsid w:val="00963EFE"/>
    <w:rsid w:val="00965FA3"/>
    <w:rsid w:val="00986C65"/>
    <w:rsid w:val="00994A8D"/>
    <w:rsid w:val="009A0B60"/>
    <w:rsid w:val="009B2507"/>
    <w:rsid w:val="009D4942"/>
    <w:rsid w:val="00A35F73"/>
    <w:rsid w:val="00A46BC9"/>
    <w:rsid w:val="00A72892"/>
    <w:rsid w:val="00A74479"/>
    <w:rsid w:val="00A87367"/>
    <w:rsid w:val="00A94360"/>
    <w:rsid w:val="00A950AF"/>
    <w:rsid w:val="00A9715D"/>
    <w:rsid w:val="00AA5C8B"/>
    <w:rsid w:val="00AA7A38"/>
    <w:rsid w:val="00AB26EE"/>
    <w:rsid w:val="00AC7067"/>
    <w:rsid w:val="00AE747C"/>
    <w:rsid w:val="00AF332D"/>
    <w:rsid w:val="00B05BEB"/>
    <w:rsid w:val="00B11AB9"/>
    <w:rsid w:val="00B1682E"/>
    <w:rsid w:val="00B16D60"/>
    <w:rsid w:val="00B24813"/>
    <w:rsid w:val="00B2730F"/>
    <w:rsid w:val="00B30715"/>
    <w:rsid w:val="00B35C34"/>
    <w:rsid w:val="00B40F2B"/>
    <w:rsid w:val="00B4758A"/>
    <w:rsid w:val="00B526F5"/>
    <w:rsid w:val="00B822A7"/>
    <w:rsid w:val="00B83CC3"/>
    <w:rsid w:val="00B920B5"/>
    <w:rsid w:val="00B92FB1"/>
    <w:rsid w:val="00B95EBB"/>
    <w:rsid w:val="00BA1DEF"/>
    <w:rsid w:val="00BD1F25"/>
    <w:rsid w:val="00BF168B"/>
    <w:rsid w:val="00C02C9F"/>
    <w:rsid w:val="00C139EB"/>
    <w:rsid w:val="00C44CFF"/>
    <w:rsid w:val="00C5105E"/>
    <w:rsid w:val="00C57CCF"/>
    <w:rsid w:val="00C61317"/>
    <w:rsid w:val="00C62B77"/>
    <w:rsid w:val="00CB281B"/>
    <w:rsid w:val="00CB4954"/>
    <w:rsid w:val="00CB588D"/>
    <w:rsid w:val="00CC2D91"/>
    <w:rsid w:val="00CC5143"/>
    <w:rsid w:val="00CF3B29"/>
    <w:rsid w:val="00D124D6"/>
    <w:rsid w:val="00D2239A"/>
    <w:rsid w:val="00D36767"/>
    <w:rsid w:val="00D5502E"/>
    <w:rsid w:val="00D83D27"/>
    <w:rsid w:val="00DA0A97"/>
    <w:rsid w:val="00DA503D"/>
    <w:rsid w:val="00DB125C"/>
    <w:rsid w:val="00DC08C0"/>
    <w:rsid w:val="00DC379E"/>
    <w:rsid w:val="00E01490"/>
    <w:rsid w:val="00E1357B"/>
    <w:rsid w:val="00E14051"/>
    <w:rsid w:val="00E64769"/>
    <w:rsid w:val="00E67DA7"/>
    <w:rsid w:val="00E855A2"/>
    <w:rsid w:val="00E914C0"/>
    <w:rsid w:val="00EA57F6"/>
    <w:rsid w:val="00EA5A52"/>
    <w:rsid w:val="00EB550D"/>
    <w:rsid w:val="00EC2AD7"/>
    <w:rsid w:val="00ED4218"/>
    <w:rsid w:val="00ED62E4"/>
    <w:rsid w:val="00EE055B"/>
    <w:rsid w:val="00EF5CF1"/>
    <w:rsid w:val="00F000ED"/>
    <w:rsid w:val="00F05BDD"/>
    <w:rsid w:val="00F24DE6"/>
    <w:rsid w:val="00F24F5A"/>
    <w:rsid w:val="00F44B69"/>
    <w:rsid w:val="00F6775B"/>
    <w:rsid w:val="00F94276"/>
    <w:rsid w:val="00F976E4"/>
    <w:rsid w:val="00FB0D46"/>
    <w:rsid w:val="00FB6DFB"/>
    <w:rsid w:val="00FB758C"/>
    <w:rsid w:val="00FC10AA"/>
    <w:rsid w:val="00FC1E7F"/>
    <w:rsid w:val="00FC3D11"/>
    <w:rsid w:val="00FD094D"/>
    <w:rsid w:val="00FD2DC9"/>
    <w:rsid w:val="00FF040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82937"/>
  <w15:chartTrackingRefBased/>
  <w15:docId w15:val="{69963427-BFC3-4181-A80A-A7DFA6EA9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sid w:val="007E0386"/>
    <w:pPr>
      <w:spacing w:line="276" w:lineRule="auto"/>
    </w:pPr>
    <w:rPr>
      <w:rFonts w:ascii="Verdana" w:hAnsi="Verdana"/>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2507"/>
    <w:pPr>
      <w:tabs>
        <w:tab w:val="center" w:pos="4252"/>
        <w:tab w:val="right" w:pos="8504"/>
      </w:tabs>
    </w:pPr>
  </w:style>
  <w:style w:type="character" w:customStyle="1" w:styleId="EncabezadoCar">
    <w:name w:val="Encabezado Car"/>
    <w:basedOn w:val="Fuentedeprrafopredeter"/>
    <w:link w:val="Encabezado"/>
    <w:uiPriority w:val="99"/>
    <w:rsid w:val="009B2507"/>
  </w:style>
  <w:style w:type="paragraph" w:styleId="Piedepgina">
    <w:name w:val="footer"/>
    <w:basedOn w:val="Normal"/>
    <w:link w:val="PiedepginaCar"/>
    <w:uiPriority w:val="99"/>
    <w:unhideWhenUsed/>
    <w:rsid w:val="009B2507"/>
    <w:pPr>
      <w:tabs>
        <w:tab w:val="center" w:pos="4252"/>
        <w:tab w:val="right" w:pos="8504"/>
      </w:tabs>
    </w:pPr>
  </w:style>
  <w:style w:type="character" w:customStyle="1" w:styleId="PiedepginaCar">
    <w:name w:val="Pie de página Car"/>
    <w:basedOn w:val="Fuentedeprrafopredeter"/>
    <w:link w:val="Piedepgina"/>
    <w:uiPriority w:val="99"/>
    <w:rsid w:val="009B2507"/>
  </w:style>
  <w:style w:type="paragraph" w:styleId="Textodeglobo">
    <w:name w:val="Balloon Text"/>
    <w:basedOn w:val="Normal"/>
    <w:link w:val="TextodegloboCar"/>
    <w:uiPriority w:val="99"/>
    <w:semiHidden/>
    <w:unhideWhenUsed/>
    <w:rsid w:val="009B2507"/>
    <w:pPr>
      <w:spacing w:line="240" w:lineRule="auto"/>
    </w:pPr>
    <w:rPr>
      <w:rFonts w:ascii="Tahoma" w:hAnsi="Tahoma" w:cs="Tahoma"/>
      <w:sz w:val="16"/>
      <w:szCs w:val="16"/>
    </w:rPr>
  </w:style>
  <w:style w:type="character" w:customStyle="1" w:styleId="TextodegloboCar">
    <w:name w:val="Texto de globo Car"/>
    <w:link w:val="Textodeglobo"/>
    <w:uiPriority w:val="99"/>
    <w:semiHidden/>
    <w:rsid w:val="009B2507"/>
    <w:rPr>
      <w:rFonts w:ascii="Tahoma" w:hAnsi="Tahoma" w:cs="Tahoma"/>
      <w:sz w:val="16"/>
      <w:szCs w:val="16"/>
    </w:rPr>
  </w:style>
  <w:style w:type="table" w:styleId="Tablaconcuadrcula">
    <w:name w:val="Table Grid"/>
    <w:basedOn w:val="Tablanormal"/>
    <w:uiPriority w:val="59"/>
    <w:rsid w:val="000317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B62898"/>
    <w:rPr>
      <w:color w:val="0000FF"/>
      <w:u w:val="single"/>
    </w:rPr>
  </w:style>
  <w:style w:type="paragraph" w:styleId="Prrafodelista">
    <w:name w:val="List Paragraph"/>
    <w:basedOn w:val="Normal"/>
    <w:uiPriority w:val="72"/>
    <w:qFormat/>
    <w:rsid w:val="005D12FB"/>
    <w:pPr>
      <w:ind w:left="720"/>
      <w:contextualSpacing/>
    </w:pPr>
  </w:style>
  <w:style w:type="paragraph" w:styleId="NormalWeb">
    <w:name w:val="Normal (Web)"/>
    <w:basedOn w:val="Normal"/>
    <w:uiPriority w:val="99"/>
    <w:semiHidden/>
    <w:unhideWhenUsed/>
    <w:rsid w:val="00CC5143"/>
    <w:pPr>
      <w:spacing w:before="100" w:beforeAutospacing="1" w:after="100" w:afterAutospacing="1" w:line="240" w:lineRule="auto"/>
    </w:pPr>
    <w:rPr>
      <w:rFonts w:ascii="Times New Roman" w:eastAsia="Times New Roman" w:hAnsi="Times New Roman"/>
      <w:sz w:val="24"/>
      <w:szCs w:val="24"/>
      <w:lang w:val="es-CO" w:eastAsia="es-MX"/>
    </w:rPr>
  </w:style>
  <w:style w:type="character" w:styleId="Refdecomentario">
    <w:name w:val="annotation reference"/>
    <w:basedOn w:val="Fuentedeprrafopredeter"/>
    <w:uiPriority w:val="99"/>
    <w:semiHidden/>
    <w:unhideWhenUsed/>
    <w:rsid w:val="001D4D60"/>
    <w:rPr>
      <w:sz w:val="16"/>
      <w:szCs w:val="16"/>
    </w:rPr>
  </w:style>
  <w:style w:type="paragraph" w:styleId="Textocomentario">
    <w:name w:val="annotation text"/>
    <w:basedOn w:val="Normal"/>
    <w:link w:val="TextocomentarioCar"/>
    <w:uiPriority w:val="99"/>
    <w:unhideWhenUsed/>
    <w:rsid w:val="001D4D60"/>
    <w:pPr>
      <w:spacing w:line="240" w:lineRule="auto"/>
    </w:pPr>
    <w:rPr>
      <w:sz w:val="20"/>
      <w:szCs w:val="20"/>
    </w:rPr>
  </w:style>
  <w:style w:type="character" w:customStyle="1" w:styleId="TextocomentarioCar">
    <w:name w:val="Texto comentario Car"/>
    <w:basedOn w:val="Fuentedeprrafopredeter"/>
    <w:link w:val="Textocomentario"/>
    <w:uiPriority w:val="99"/>
    <w:rsid w:val="001D4D60"/>
    <w:rPr>
      <w:rFonts w:ascii="Verdana" w:hAnsi="Verdana"/>
      <w:lang w:val="es-ES" w:eastAsia="en-US"/>
    </w:rPr>
  </w:style>
  <w:style w:type="paragraph" w:styleId="Asuntodelcomentario">
    <w:name w:val="annotation subject"/>
    <w:basedOn w:val="Textocomentario"/>
    <w:next w:val="Textocomentario"/>
    <w:link w:val="AsuntodelcomentarioCar"/>
    <w:uiPriority w:val="99"/>
    <w:semiHidden/>
    <w:unhideWhenUsed/>
    <w:rsid w:val="001D4D60"/>
    <w:rPr>
      <w:b/>
      <w:bCs/>
    </w:rPr>
  </w:style>
  <w:style w:type="character" w:customStyle="1" w:styleId="AsuntodelcomentarioCar">
    <w:name w:val="Asunto del comentario Car"/>
    <w:basedOn w:val="TextocomentarioCar"/>
    <w:link w:val="Asuntodelcomentario"/>
    <w:uiPriority w:val="99"/>
    <w:semiHidden/>
    <w:rsid w:val="001D4D60"/>
    <w:rPr>
      <w:rFonts w:ascii="Verdana" w:hAnsi="Verdana"/>
      <w:b/>
      <w:bCs/>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252427">
      <w:bodyDiv w:val="1"/>
      <w:marLeft w:val="0"/>
      <w:marRight w:val="0"/>
      <w:marTop w:val="0"/>
      <w:marBottom w:val="0"/>
      <w:divBdr>
        <w:top w:val="none" w:sz="0" w:space="0" w:color="auto"/>
        <w:left w:val="none" w:sz="0" w:space="0" w:color="auto"/>
        <w:bottom w:val="none" w:sz="0" w:space="0" w:color="auto"/>
        <w:right w:val="none" w:sz="0" w:space="0" w:color="auto"/>
      </w:divBdr>
    </w:div>
    <w:div w:id="1523595213">
      <w:bodyDiv w:val="1"/>
      <w:marLeft w:val="0"/>
      <w:marRight w:val="0"/>
      <w:marTop w:val="0"/>
      <w:marBottom w:val="0"/>
      <w:divBdr>
        <w:top w:val="none" w:sz="0" w:space="0" w:color="auto"/>
        <w:left w:val="none" w:sz="0" w:space="0" w:color="auto"/>
        <w:bottom w:val="none" w:sz="0" w:space="0" w:color="auto"/>
        <w:right w:val="none" w:sz="0" w:space="0" w:color="auto"/>
      </w:divBdr>
    </w:div>
    <w:div w:id="188902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48A5F1-D88A-43BA-9805-C72E28406B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B39DFE-8801-46E8-BB3B-9D7BF8E90F8D}">
  <ds:schemaRefs>
    <ds:schemaRef ds:uri="http://schemas.microsoft.com/sharepoint/v3/contenttype/forms"/>
  </ds:schemaRefs>
</ds:datastoreItem>
</file>

<file path=customXml/itemProps3.xml><?xml version="1.0" encoding="utf-8"?>
<ds:datastoreItem xmlns:ds="http://schemas.openxmlformats.org/officeDocument/2006/customXml" ds:itemID="{88EE93D9-F34C-4793-A349-0B7948804480}">
  <ds:schemaRefs>
    <ds:schemaRef ds:uri="http://schemas.openxmlformats.org/officeDocument/2006/bibliography"/>
  </ds:schemaRefs>
</ds:datastoreItem>
</file>

<file path=customXml/itemProps4.xml><?xml version="1.0" encoding="utf-8"?>
<ds:datastoreItem xmlns:ds="http://schemas.openxmlformats.org/officeDocument/2006/customXml" ds:itemID="{6656C937-DBA4-49D7-AD94-109446FAF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b6216f-50ca-4067-8039-c588814c88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714</Words>
  <Characters>3927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oswald.tapiero</dc:creator>
  <cp:keywords/>
  <dc:description/>
  <cp:lastModifiedBy>Daniel Eduardo Lozano Bocanegra</cp:lastModifiedBy>
  <cp:revision>2</cp:revision>
  <cp:lastPrinted>2019-01-25T16:36:00Z</cp:lastPrinted>
  <dcterms:created xsi:type="dcterms:W3CDTF">2026-06-23T17:04:00Z</dcterms:created>
  <dcterms:modified xsi:type="dcterms:W3CDTF">2026-06-23T17:04:00Z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