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7AE" w14:textId="77777777" w:rsidR="00104849" w:rsidRPr="00104849" w:rsidRDefault="00104849" w:rsidP="00104849">
      <w:pPr>
        <w:spacing w:line="240" w:lineRule="auto"/>
        <w:jc w:val="center"/>
        <w:rPr>
          <w:rFonts w:ascii="Verdana" w:hAnsi="Verdana"/>
          <w:sz w:val="22"/>
          <w:szCs w:val="22"/>
        </w:rPr>
      </w:pPr>
      <w:r w:rsidRPr="00104849">
        <w:rPr>
          <w:rFonts w:ascii="Verdana" w:hAnsi="Verdana"/>
          <w:b/>
          <w:bCs/>
          <w:sz w:val="22"/>
          <w:szCs w:val="22"/>
        </w:rPr>
        <w:t>CONCEPTO 60 DE 2015</w:t>
      </w:r>
    </w:p>
    <w:p w14:paraId="39D79FB0" w14:textId="77777777" w:rsidR="00104849" w:rsidRPr="00104849" w:rsidRDefault="00104849" w:rsidP="00104849">
      <w:pPr>
        <w:spacing w:line="240" w:lineRule="auto"/>
        <w:jc w:val="center"/>
        <w:rPr>
          <w:rFonts w:ascii="Verdana" w:hAnsi="Verdana"/>
          <w:sz w:val="22"/>
          <w:szCs w:val="22"/>
        </w:rPr>
      </w:pPr>
      <w:r w:rsidRPr="00104849">
        <w:rPr>
          <w:rFonts w:ascii="Verdana" w:hAnsi="Verdana"/>
          <w:sz w:val="22"/>
          <w:szCs w:val="22"/>
        </w:rPr>
        <w:t>(mayo 21)</w:t>
      </w:r>
    </w:p>
    <w:p w14:paraId="05D7383F" w14:textId="77777777" w:rsidR="00104849" w:rsidRPr="00104849" w:rsidRDefault="00104849" w:rsidP="00104849">
      <w:pPr>
        <w:spacing w:line="240" w:lineRule="auto"/>
        <w:jc w:val="center"/>
        <w:rPr>
          <w:rFonts w:ascii="Verdana" w:hAnsi="Verdana"/>
          <w:sz w:val="22"/>
          <w:szCs w:val="22"/>
        </w:rPr>
      </w:pPr>
      <w:r w:rsidRPr="00104849">
        <w:rPr>
          <w:rFonts w:ascii="Verdana" w:hAnsi="Verdana"/>
          <w:b/>
          <w:bCs/>
          <w:sz w:val="22"/>
          <w:szCs w:val="22"/>
        </w:rPr>
        <w:t>INSTITUTO COLOMBIANO DE BIENESTAR FAMILIAR – ICBF</w:t>
      </w:r>
    </w:p>
    <w:p w14:paraId="3EEE65DE" w14:textId="77777777" w:rsidR="00104849" w:rsidRDefault="00104849" w:rsidP="00104849">
      <w:pPr>
        <w:spacing w:line="240" w:lineRule="auto"/>
        <w:jc w:val="both"/>
        <w:rPr>
          <w:rFonts w:ascii="Verdana" w:hAnsi="Verdana"/>
          <w:sz w:val="22"/>
          <w:szCs w:val="22"/>
        </w:rPr>
      </w:pPr>
    </w:p>
    <w:p w14:paraId="4D903DAA" w14:textId="3F47C21B"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rPr>
        <w:t>ASUNTO</w:t>
      </w:r>
      <w:r w:rsidRPr="00104849">
        <w:rPr>
          <w:rFonts w:ascii="Verdana" w:hAnsi="Verdana"/>
          <w:sz w:val="22"/>
          <w:szCs w:val="22"/>
        </w:rPr>
        <w:t>: Ley aplicable a designación de curador general a menor de edad extranjero residente en Colombia.</w:t>
      </w:r>
    </w:p>
    <w:p w14:paraId="319A81B1" w14:textId="57F8619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De manera atenta, en relación con el asunto de la referencia, en los términos previstos en los artículos 26 del Código Civil, 25 del Decreto 01 de 1984 - Código de lo Contencioso Administrativo, y 6o, numeral 4, del Decreto 987 de 2012, se responde la solicitud de concepto definitivo sobre el caso en cuestión, en los términos que siguen:</w:t>
      </w:r>
    </w:p>
    <w:p w14:paraId="0F6E4277"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rPr>
        <w:t>1. PROBLEMA JURIDICO</w:t>
      </w:r>
    </w:p>
    <w:p w14:paraId="13F87692"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¿Cuál es la ley aplicable a un menor de edad extranjero residente en Colombia, en los trámites de salida del país y designación de curador general?</w:t>
      </w:r>
    </w:p>
    <w:p w14:paraId="3DE98061"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rPr>
        <w:t>2. ANALISIS DEL PROBLEMA JURIDICO</w:t>
      </w:r>
    </w:p>
    <w:p w14:paraId="41EECBB3"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Metodológicamente estudiaremos: 2.1. El interés Superior de los niños, niñas y adolescentes; Constitución, territorialidad y extraterritorialidad de la ley civil colombiana; 2.3. Del régimen migratorio de los extranjeros en Colombia; 2.4. La designación de curador o tutor.</w:t>
      </w:r>
    </w:p>
    <w:p w14:paraId="0109704B"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u w:val="single"/>
        </w:rPr>
        <w:t>2.1 El Interés Superior de los niños, las niñas y los adolescentes</w:t>
      </w:r>
    </w:p>
    <w:p w14:paraId="62258DB0"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La Convención sobre los Derechos del Niño en el numeral primero del artículo tercero establece que </w:t>
      </w:r>
      <w:r w:rsidRPr="00104849">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104849">
        <w:rPr>
          <w:rFonts w:ascii="Verdana" w:hAnsi="Verdana"/>
          <w:i/>
          <w:iCs/>
          <w:sz w:val="22"/>
          <w:szCs w:val="22"/>
          <w:u w:val="single"/>
        </w:rPr>
        <w:t>una</w:t>
      </w:r>
      <w:r w:rsidRPr="00104849">
        <w:rPr>
          <w:rFonts w:ascii="Verdana" w:hAnsi="Verdana"/>
          <w:i/>
          <w:iCs/>
          <w:sz w:val="22"/>
          <w:szCs w:val="22"/>
        </w:rPr>
        <w:t> </w:t>
      </w:r>
      <w:r w:rsidRPr="00104849">
        <w:rPr>
          <w:rFonts w:ascii="Verdana" w:hAnsi="Verdana"/>
          <w:i/>
          <w:iCs/>
          <w:sz w:val="22"/>
          <w:szCs w:val="22"/>
          <w:u w:val="single"/>
        </w:rPr>
        <w:t>consideración primordial a que se atenderá será el interés superior del niño</w:t>
      </w:r>
      <w:r w:rsidRPr="00104849">
        <w:rPr>
          <w:rFonts w:ascii="Verdana" w:hAnsi="Verdana"/>
          <w:i/>
          <w:iCs/>
          <w:sz w:val="22"/>
          <w:szCs w:val="22"/>
        </w:rPr>
        <w:t>" (subrayado fuera de texto).</w:t>
      </w:r>
    </w:p>
    <w:p w14:paraId="55B98BBA" w14:textId="28EFA1B4"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4A324E5D" w14:textId="2224D61E"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Por su parte, en el artículo 8 del Código de la Infancia y la </w:t>
      </w:r>
      <w:proofErr w:type="gramStart"/>
      <w:r w:rsidRPr="00104849">
        <w:rPr>
          <w:rFonts w:ascii="Verdana" w:hAnsi="Verdana"/>
          <w:sz w:val="22"/>
          <w:szCs w:val="22"/>
        </w:rPr>
        <w:t>Adolescencia</w:t>
      </w:r>
      <w:r w:rsidRPr="00104849">
        <w:rPr>
          <w:rFonts w:ascii="Verdana" w:hAnsi="Verdana"/>
          <w:sz w:val="22"/>
          <w:szCs w:val="22"/>
          <w:vertAlign w:val="subscript"/>
        </w:rPr>
        <w:t>[</w:t>
      </w:r>
      <w:proofErr w:type="gramEnd"/>
      <w:r w:rsidRPr="00104849">
        <w:rPr>
          <w:rFonts w:ascii="Verdana" w:hAnsi="Verdana"/>
          <w:sz w:val="22"/>
          <w:szCs w:val="22"/>
          <w:vertAlign w:val="subscript"/>
        </w:rPr>
        <w:t>1]</w:t>
      </w:r>
      <w:r w:rsidRPr="00104849">
        <w:rPr>
          <w:rFonts w:ascii="Verdana" w:hAnsi="Verdana"/>
          <w:sz w:val="22"/>
          <w:szCs w:val="22"/>
        </w:rPr>
        <w:t> se define el interés superior de los niños, las niñas y los adolescentes como "(...) </w:t>
      </w:r>
      <w:r w:rsidRPr="00104849">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06F51FED"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En ese sentido, la Corte Constitucional ha precisado que todas las actuaciones que realicen las </w:t>
      </w:r>
      <w:proofErr w:type="gramStart"/>
      <w:r w:rsidRPr="00104849">
        <w:rPr>
          <w:rFonts w:ascii="Verdana" w:hAnsi="Verdana"/>
          <w:sz w:val="22"/>
          <w:szCs w:val="22"/>
        </w:rPr>
        <w:t>autoridades públicas</w:t>
      </w:r>
      <w:proofErr w:type="gramEnd"/>
      <w:r w:rsidRPr="00104849">
        <w:rPr>
          <w:rFonts w:ascii="Verdana" w:hAnsi="Verdana"/>
          <w:sz w:val="22"/>
          <w:szCs w:val="22"/>
        </w:rPr>
        <w:t xml:space="preserve"> en las que se encuentren involucrados niños, niñas o adolescentes deben estar orientadas por el principio del interés superior.</w:t>
      </w:r>
      <w:r w:rsidRPr="00104849">
        <w:rPr>
          <w:rFonts w:ascii="Verdana" w:hAnsi="Verdana"/>
          <w:sz w:val="22"/>
          <w:szCs w:val="22"/>
          <w:vertAlign w:val="subscript"/>
        </w:rPr>
        <w:t>[2]</w:t>
      </w:r>
    </w:p>
    <w:p w14:paraId="04D68E49"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lastRenderedPageBreak/>
        <w:t>En efecto, la Corte ha afirmado que:</w:t>
      </w:r>
    </w:p>
    <w:p w14:paraId="361D2910"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104849">
        <w:rPr>
          <w:rFonts w:ascii="Verdana" w:hAnsi="Verdana"/>
          <w:i/>
          <w:iCs/>
          <w:sz w:val="22"/>
          <w:szCs w:val="22"/>
        </w:rPr>
        <w:t>que</w:t>
      </w:r>
      <w:proofErr w:type="gramEnd"/>
      <w:r w:rsidRPr="00104849">
        <w:rPr>
          <w:rFonts w:ascii="Verdana" w:hAnsi="Verdana"/>
          <w:i/>
          <w:iCs/>
          <w:sz w:val="22"/>
          <w:szCs w:val="22"/>
        </w:rPr>
        <w:t xml:space="preserve"> en tanto sujeto digno, debe ser atendido por la familia, la sociedad y el Estado con todo el cuidado que requiere su situación personal".</w:t>
      </w:r>
      <w:r w:rsidRPr="00104849">
        <w:rPr>
          <w:rFonts w:ascii="Verdana" w:hAnsi="Verdana"/>
          <w:i/>
          <w:iCs/>
          <w:sz w:val="22"/>
          <w:szCs w:val="22"/>
          <w:vertAlign w:val="subscript"/>
        </w:rPr>
        <w:t>[3]</w:t>
      </w:r>
    </w:p>
    <w:p w14:paraId="17BD1A8A"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Así mismo, sostuvo:</w:t>
      </w:r>
    </w:p>
    <w:p w14:paraId="4CAFDDCC"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104849">
        <w:rPr>
          <w:rFonts w:ascii="Verdana" w:hAnsi="Verdana"/>
          <w:i/>
          <w:iCs/>
          <w:sz w:val="22"/>
          <w:szCs w:val="22"/>
          <w:vertAlign w:val="subscript"/>
        </w:rPr>
        <w:t>[4]</w:t>
      </w:r>
    </w:p>
    <w:p w14:paraId="11DCC7C2"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De otra parte, en el Estatuto Integral del Defensor de Familia respecto al interés superior del niño, la niña y el adolescente se señala:</w:t>
      </w:r>
    </w:p>
    <w:p w14:paraId="5DE81F7D"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2D0CD93A"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rPr>
        <w:t>2.2</w:t>
      </w:r>
      <w:r w:rsidRPr="00104849">
        <w:rPr>
          <w:rFonts w:ascii="Verdana" w:hAnsi="Verdana"/>
          <w:b/>
          <w:bCs/>
          <w:sz w:val="22"/>
          <w:szCs w:val="22"/>
          <w:u w:val="single"/>
        </w:rPr>
        <w:t>Constitución. territorialidad y extraterritorialidad de la ley civil colombiana</w:t>
      </w:r>
    </w:p>
    <w:p w14:paraId="60F63F3D" w14:textId="4D7DA894"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El inciso 2o del Art. 4o de la Constitución Política Colombiana dispone:</w:t>
      </w:r>
    </w:p>
    <w:p w14:paraId="61E4F7B3"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"Es deber de los nacionales y de los extranjeros en Colombia acatar la Constitución y las leyes, y respetar y obedecer a las autoridades".</w:t>
      </w:r>
    </w:p>
    <w:p w14:paraId="27FF877D" w14:textId="0FE94C9E"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Así mismo, en virtud de lo dispuesto en el Art. 100 de la Constitución Política:</w:t>
      </w:r>
    </w:p>
    <w:p w14:paraId="10FD8ABF"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"Los extranjeros disfrutarán en Colombia de los mismos derechos civiles que se conceden a los colombianos. No obstante, la ley podrá, por razones de orden público, subordinar a condiciones especiales o negar el ejercicio de determinados derechos civiles a los extranjeros. Asimismo, los extranjeros gozarán, en el territorio de la República, de las garantías concedidas a los nacionales, salvo las limitaciones que establezcan la Constitución o la ley”.</w:t>
      </w:r>
    </w:p>
    <w:p w14:paraId="69C08E09" w14:textId="6817968C"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lastRenderedPageBreak/>
        <w:t xml:space="preserve">Por su parte, el Art. 19 del Código Civil establece </w:t>
      </w:r>
      <w:proofErr w:type="gramStart"/>
      <w:r w:rsidRPr="00104849">
        <w:rPr>
          <w:rFonts w:ascii="Verdana" w:hAnsi="Verdana"/>
          <w:sz w:val="22"/>
          <w:szCs w:val="22"/>
        </w:rPr>
        <w:t>que</w:t>
      </w:r>
      <w:proofErr w:type="gramEnd"/>
      <w:r w:rsidRPr="00104849">
        <w:rPr>
          <w:rFonts w:ascii="Verdana" w:hAnsi="Verdana"/>
          <w:sz w:val="22"/>
          <w:szCs w:val="22"/>
        </w:rPr>
        <w:t xml:space="preserve"> en materia de estado civil y relaciones de familia, la ley colombiana sigue a sus nacionales en cualquier sitio o país donde se encuentren, con lo cual surge el llamado “Estatuto Personal”, por oposición al “Estatuto Real” que describe el artículo 20 del mismo estatuto y que impone que respecto de los bienes, se aplicarán siempre las leyes de su lugar de ubicación.</w:t>
      </w:r>
    </w:p>
    <w:p w14:paraId="1B15E882" w14:textId="6DE636F6"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No obstante lo anterior, en los casos en que se debatan los derechos de niños, niñas y adolescentes que se encuentren en territorio colombiano, es procedente dar aplicación a normas superiores de orden público, como lo sería el artículo 4 de la Ley 1098 de 2006, el cual establece su ámbito de aplicación, disponiendo que la mencionada ley se aplica a todos los niños, niñas y los adolescentes nacionales o extranjeros que se encuentran en el territorio nacional, a los nacionales que se encuentren fuera del país y aquellos con doble nacionalidad, cuando una de ellas sea la colombiana.</w:t>
      </w:r>
    </w:p>
    <w:p w14:paraId="328572A8" w14:textId="1DB63D8F"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El artículo 9 de la misma ley establece:</w:t>
      </w:r>
    </w:p>
    <w:p w14:paraId="448C700C"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"PREVALENCIA DE LOS DERECHOS: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5AB34E1B"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En caso de conflicto entre dos o más disposiciones legales, administrativas o disciplinarias, se aplicará la norma más favorable al interés superior del niño, niña o adolescentes".</w:t>
      </w:r>
    </w:p>
    <w:p w14:paraId="2BC8422B" w14:textId="6C9B948F"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Así mismo el artículo 41 numeral 28 de la misma ley dispone:</w:t>
      </w:r>
    </w:p>
    <w:p w14:paraId="3C9F35BA"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"OBLIGACIONES DEL ESTADO. El Estado es el contexto institucional en el desarrollo integral de los niños, las niñas y los adolescentes. En cumplimiento de sus funciones en los niveles nacional, departamental, distrital y municipal deberá:</w:t>
      </w:r>
    </w:p>
    <w:p w14:paraId="42DCECB3" w14:textId="77777777" w:rsidR="00104849" w:rsidRPr="00104849" w:rsidRDefault="00104849" w:rsidP="00104849">
      <w:pPr>
        <w:spacing w:line="240" w:lineRule="auto"/>
        <w:jc w:val="both"/>
        <w:rPr>
          <w:rFonts w:ascii="Verdana" w:hAnsi="Verdana"/>
          <w:sz w:val="22"/>
          <w:szCs w:val="22"/>
        </w:rPr>
      </w:pPr>
      <w:proofErr w:type="gramStart"/>
      <w:r w:rsidRPr="00104849">
        <w:rPr>
          <w:rFonts w:ascii="Verdana" w:hAnsi="Verdana"/>
          <w:i/>
          <w:iCs/>
          <w:sz w:val="22"/>
          <w:szCs w:val="22"/>
        </w:rPr>
        <w:t>....</w:t>
      </w:r>
      <w:proofErr w:type="gramEnd"/>
      <w:r w:rsidRPr="00104849">
        <w:rPr>
          <w:rFonts w:ascii="Verdana" w:hAnsi="Verdana"/>
          <w:i/>
          <w:iCs/>
          <w:sz w:val="22"/>
          <w:szCs w:val="22"/>
        </w:rPr>
        <w:t>Protegerlos contra los desplazamientos arbitrarios que los alejen de su hogar o de su lugar de residencia habitual”.</w:t>
      </w:r>
    </w:p>
    <w:p w14:paraId="3071577C"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Quiere decir lo anterior que los niños, niñas y adolescentes tiene derecho a seguir gozando de su calidad de vida esencial para su desarrollo integral asegurando sus derechos fundamentales y los de la perspectiva de sujetos de derechos bajo el marco legal y constitucional del estado </w:t>
      </w:r>
      <w:proofErr w:type="gramStart"/>
      <w:r w:rsidRPr="00104849">
        <w:rPr>
          <w:rFonts w:ascii="Verdana" w:hAnsi="Verdana"/>
          <w:sz w:val="22"/>
          <w:szCs w:val="22"/>
        </w:rPr>
        <w:t>Colombiano</w:t>
      </w:r>
      <w:proofErr w:type="gramEnd"/>
      <w:r w:rsidRPr="00104849">
        <w:rPr>
          <w:rFonts w:ascii="Verdana" w:hAnsi="Verdana"/>
          <w:sz w:val="22"/>
          <w:szCs w:val="22"/>
        </w:rPr>
        <w:t xml:space="preserve"> si se encuentran dentro del territorio Nacional.</w:t>
      </w:r>
    </w:p>
    <w:p w14:paraId="0735FC54"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Por su parte, los padres o miembros de la familia, abuelos, parientes o padres de crianza son titulares de obligaciones que propendan por el mantenimiento de los lazos familiares y del deber de velar por que los niños, niñas o adolescentes gocen de un ambiente apropiado para el ejercicio de sus derechos y puedan contar con el cuidado y atención exigido para su desarrollo integral.</w:t>
      </w:r>
    </w:p>
    <w:p w14:paraId="3D1DD28C"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En conclusión, con fundamento en las disposiciones legales señaladas, debe tenerse en cuenta </w:t>
      </w:r>
      <w:proofErr w:type="gramStart"/>
      <w:r w:rsidRPr="00104849">
        <w:rPr>
          <w:rFonts w:ascii="Verdana" w:hAnsi="Verdana"/>
          <w:sz w:val="22"/>
          <w:szCs w:val="22"/>
        </w:rPr>
        <w:t>que</w:t>
      </w:r>
      <w:proofErr w:type="gramEnd"/>
      <w:r w:rsidRPr="00104849">
        <w:rPr>
          <w:rFonts w:ascii="Verdana" w:hAnsi="Verdana"/>
          <w:sz w:val="22"/>
          <w:szCs w:val="22"/>
        </w:rPr>
        <w:t xml:space="preserve"> en materia de protección a la niñez y la familia, así como </w:t>
      </w:r>
      <w:r w:rsidRPr="00104849">
        <w:rPr>
          <w:rFonts w:ascii="Verdana" w:hAnsi="Verdana"/>
          <w:sz w:val="22"/>
          <w:szCs w:val="22"/>
        </w:rPr>
        <w:lastRenderedPageBreak/>
        <w:t>en materia civil en general, es aplicable la normativa colombiana, tanto para los nacionales como para los extranjeros residentes en Colombia.</w:t>
      </w:r>
    </w:p>
    <w:p w14:paraId="3C2308E5"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u w:val="single"/>
        </w:rPr>
        <w:t>2.3 Del régimen migratorio de los extranjeros en Colombia</w:t>
      </w:r>
    </w:p>
    <w:p w14:paraId="27191056" w14:textId="55B40C98"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Sea lo primero señalar que la visa es la autorización concedida a un extranjero para el ingreso al territorio nacional otorgada por el Ministerio de Relaciones Exteriores;</w:t>
      </w:r>
      <w:r w:rsidRPr="00104849">
        <w:rPr>
          <w:rFonts w:ascii="Verdana" w:hAnsi="Verdana"/>
          <w:sz w:val="22"/>
          <w:szCs w:val="22"/>
          <w:vertAlign w:val="subscript"/>
        </w:rPr>
        <w:t>[5]</w:t>
      </w:r>
      <w:r w:rsidRPr="00104849">
        <w:rPr>
          <w:rFonts w:ascii="Verdana" w:hAnsi="Verdana"/>
          <w:sz w:val="22"/>
          <w:szCs w:val="22"/>
        </w:rPr>
        <w:t> Así mismo ha de tenerse en cuenta que el artículo 8 del Decreto 834 de 2013 determina los casos en los cuales es procedente otorgar visa de residente a los extranjeros que deseen ingresar al país con el ánimo de establecerse en él.</w:t>
      </w:r>
    </w:p>
    <w:p w14:paraId="0794703D"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Al respecto, es necesario resaltar que tanto los titulares como los beneficiarios de visa, cuya vigencia sea superior a tres (3) meses, deberán inscribirse en el Registro de Extranjeros de la Unidad Administrativa Especial Migración Colombia dentro del plazo de quince (15) días calendario siguientes, contados a partir de su ingreso al país o de la fecha de expedición de la visa, si ésta se obtuvo dentro del territorio nacional,</w:t>
      </w:r>
      <w:r w:rsidRPr="00104849">
        <w:rPr>
          <w:rFonts w:ascii="Verdana" w:hAnsi="Verdana"/>
          <w:sz w:val="22"/>
          <w:szCs w:val="22"/>
          <w:vertAlign w:val="subscript"/>
        </w:rPr>
        <w:t>[6]</w:t>
      </w:r>
      <w:r w:rsidRPr="00104849">
        <w:rPr>
          <w:rFonts w:ascii="Verdana" w:hAnsi="Verdana"/>
          <w:sz w:val="22"/>
          <w:szCs w:val="22"/>
        </w:rPr>
        <w:t> y que, a quienes se encuentren en dicho registro, les será expedida cédula de extranjería como documento de identificación.</w:t>
      </w:r>
      <w:r w:rsidRPr="00104849">
        <w:rPr>
          <w:rFonts w:ascii="Verdana" w:hAnsi="Verdana"/>
          <w:sz w:val="22"/>
          <w:szCs w:val="22"/>
          <w:vertAlign w:val="subscript"/>
        </w:rPr>
        <w:t>[7]</w:t>
      </w:r>
    </w:p>
    <w:p w14:paraId="64A28217"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En relación con el domicilio y residencia de las personas, es necesario señalar que el primero consiste en la residencia acompañada, real o presuntivamente del ánimo de permanecer en ella, sin que sea posible presumirlo por el solo hecho de habitar un individuo por algún tiempo casa propia o ajena en él, ni en las circunstancias en que su residencia sea accidental, como la del viajero o la del que ejerce una comisión temporal.</w:t>
      </w:r>
    </w:p>
    <w:p w14:paraId="49659375"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Resulta importante destacar que el domicilio civil no se muda por el hecho de residir el individuo largo tiempo en otra parte, voluntaria o forzadamente, conservando su familia y el asiento principal de sus negocios en el domicilio anterior. Así, confinado por decreto judicial a un paraje determinado, o desterrado de la misma manera fuera del territorio nacional, retendrá el domicilio anterior mientras conserve en él su familia y el principal asiento de sus negocios.</w:t>
      </w:r>
      <w:r w:rsidRPr="00104849">
        <w:rPr>
          <w:rFonts w:ascii="Verdana" w:hAnsi="Verdana"/>
          <w:sz w:val="22"/>
          <w:szCs w:val="22"/>
          <w:vertAlign w:val="subscript"/>
        </w:rPr>
        <w:t>[8]</w:t>
      </w:r>
    </w:p>
    <w:p w14:paraId="58D6C6F2"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Conforme a lo antes señalado, a los extranjeros residentes en Colombia les son aplicables las normas que regulan el control de los extranjeros y migración, las cuales sin excepción deben cumplir quienes deseen ingresar, permanecer o salir del país.</w:t>
      </w:r>
    </w:p>
    <w:p w14:paraId="429B0AC7"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u w:val="single"/>
        </w:rPr>
        <w:t>En relación con el trámite para salida del país de un menor de edad</w:t>
      </w:r>
    </w:p>
    <w:p w14:paraId="50F95E77" w14:textId="5810676A"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Teniendo en cuenta que la normatividad establecida en la ley 1098 de 2006 aplica para todos los niños, niñas y adolescentes nacionales o extranjeros que se encuentren en el país, a los nacionales que se encuentren fuera del país y aquellos con doble nacionalidad cuando una de ellas sea colombiana,</w:t>
      </w:r>
      <w:r w:rsidRPr="00104849">
        <w:rPr>
          <w:rFonts w:ascii="Verdana" w:hAnsi="Verdana"/>
          <w:sz w:val="22"/>
          <w:szCs w:val="22"/>
          <w:vertAlign w:val="subscript"/>
        </w:rPr>
        <w:t>[9]</w:t>
      </w:r>
      <w:r w:rsidRPr="00104849">
        <w:rPr>
          <w:rFonts w:ascii="Verdana" w:hAnsi="Verdana"/>
          <w:sz w:val="22"/>
          <w:szCs w:val="22"/>
        </w:rPr>
        <w:t> es preciso señalar que el Decreto 834 de 2013</w:t>
      </w:r>
      <w:r w:rsidRPr="00104849">
        <w:rPr>
          <w:rFonts w:ascii="Verdana" w:hAnsi="Verdana"/>
          <w:sz w:val="22"/>
          <w:szCs w:val="22"/>
          <w:vertAlign w:val="subscript"/>
        </w:rPr>
        <w:t>[10]</w:t>
      </w:r>
      <w:r w:rsidRPr="00104849">
        <w:rPr>
          <w:rFonts w:ascii="Verdana" w:hAnsi="Verdana"/>
          <w:sz w:val="22"/>
          <w:szCs w:val="22"/>
        </w:rPr>
        <w:t xml:space="preserve"> es claro al determinar los documentos que se deben presentar ante la autoridad migratoria, para la salida del país de menores de edad colombianos y/o extranjeros domiciliado en Colombia que sean beneficiarios de una visa RE, exigiendo, para el caso en que </w:t>
      </w:r>
      <w:r w:rsidRPr="00104849">
        <w:rPr>
          <w:rFonts w:ascii="Verdana" w:hAnsi="Verdana"/>
          <w:sz w:val="22"/>
          <w:szCs w:val="22"/>
        </w:rPr>
        <w:lastRenderedPageBreak/>
        <w:t>el menor salga del territorio nacional con el representante legal o tenga representante legal por el fallecimiento de los padres, los siguientes:</w:t>
      </w:r>
    </w:p>
    <w:p w14:paraId="09A9E3D6"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“a</w:t>
      </w:r>
      <w:r w:rsidRPr="00104849">
        <w:rPr>
          <w:rFonts w:ascii="Verdana" w:hAnsi="Verdana"/>
          <w:i/>
          <w:iCs/>
          <w:sz w:val="22"/>
          <w:szCs w:val="22"/>
        </w:rPr>
        <w:t>.</w:t>
      </w:r>
      <w:r w:rsidRPr="00104849">
        <w:rPr>
          <w:rFonts w:ascii="Verdana" w:hAnsi="Verdana"/>
          <w:sz w:val="22"/>
          <w:szCs w:val="22"/>
        </w:rPr>
        <w:t> Pasaporte vigente o documento de viaje válido y en los casos establecidos por instrumentos internacionales vigentes documento de identidad.</w:t>
      </w:r>
    </w:p>
    <w:p w14:paraId="55962BBC"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b. Alguno de los siguientes documentos:</w:t>
      </w:r>
    </w:p>
    <w:p w14:paraId="7D189E77"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Registro Civil de Nacimiento y sentencia en la cual se establezca la representación legal,</w:t>
      </w:r>
    </w:p>
    <w:p w14:paraId="34842CE6"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Registro Civil de Nacimiento con las anotaciones de la representación legal del menor.</w:t>
      </w:r>
    </w:p>
    <w:p w14:paraId="4DBB3C29"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c. Visa del destino si así lo requiere.</w:t>
      </w:r>
    </w:p>
    <w:p w14:paraId="22FFCB1C"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d. Si el menor es adoptado por padres extranjeros, además requerirá la sentencia de adopción.”</w:t>
      </w:r>
    </w:p>
    <w:p w14:paraId="4A1FBF52"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Igualmente, la norma en cita dispone que, en el evento en que el menor de edad salga del territorio nacional sin sus padres o con una persona distinta al representante legal, es necesario presentar:</w:t>
      </w:r>
    </w:p>
    <w:p w14:paraId="3EFB97F0"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“a. Pasaporte vigente o documento de viaje válido y en los casos establecidos por instrumentos internacionales vigentes documento de identidad.</w:t>
      </w:r>
    </w:p>
    <w:p w14:paraId="5500A249"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b) Alguno de los siguientes documentos:</w:t>
      </w:r>
    </w:p>
    <w:p w14:paraId="145EAB08"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Registro Civil de Nacimiento,</w:t>
      </w:r>
    </w:p>
    <w:p w14:paraId="0ED40396"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 Anotación </w:t>
      </w:r>
      <w:proofErr w:type="gramStart"/>
      <w:r w:rsidRPr="00104849">
        <w:rPr>
          <w:rFonts w:ascii="Verdana" w:hAnsi="Verdana"/>
          <w:sz w:val="22"/>
          <w:szCs w:val="22"/>
        </w:rPr>
        <w:t>de los nombre</w:t>
      </w:r>
      <w:proofErr w:type="gramEnd"/>
      <w:r w:rsidRPr="00104849">
        <w:rPr>
          <w:rFonts w:ascii="Verdana" w:hAnsi="Verdana"/>
          <w:sz w:val="22"/>
          <w:szCs w:val="22"/>
        </w:rPr>
        <w:t xml:space="preserve"> de los padres en el permiso de salida de que trata el literal d) del presente numeral, cuando éste es emitido en Colombia,</w:t>
      </w:r>
    </w:p>
    <w:p w14:paraId="769A5560"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Registro Civil de Nacimiento con las anotaciones de la sentencia de representación legal,</w:t>
      </w:r>
    </w:p>
    <w:p w14:paraId="19CA3372"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Sentencia donde se establece la representación legal del menor.</w:t>
      </w:r>
    </w:p>
    <w:p w14:paraId="7D2461B8"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c. Visa del destino si así lo requiere.</w:t>
      </w:r>
    </w:p>
    <w:p w14:paraId="77C5D0B8"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d. Permiso de salida del país debidamente autenticado ante notario, autoridad consular u otra autoridad debidamente apostillado o legalizado según el caso, suscrito por ambos padres o representante legal.</w:t>
      </w:r>
    </w:p>
    <w:p w14:paraId="7AE50CDD"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e. Si el menor es adoptado por padres extranjeros, además requerirá la sentencia de adopción.”</w:t>
      </w:r>
    </w:p>
    <w:p w14:paraId="402B7B63"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rPr>
        <w:t>2.4 </w:t>
      </w:r>
      <w:r w:rsidRPr="00104849">
        <w:rPr>
          <w:rFonts w:ascii="Verdana" w:hAnsi="Verdana"/>
          <w:b/>
          <w:bCs/>
          <w:sz w:val="22"/>
          <w:szCs w:val="22"/>
          <w:u w:val="single"/>
        </w:rPr>
        <w:t>La designación de curador o tutor</w:t>
      </w:r>
    </w:p>
    <w:p w14:paraId="5F295D9A"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La tutela o curaduría es un cargo impuesto a cierta persona, en favor de otra que no puede obligarse por sí misma o no puede administrar competentemente sus negocios; y en el caso de los niños, niñas o adolescentes, cuando no se encuentren bajo la patria potestad de sus progenitores, quienes en principio son los legitimados a tener su representación legal. La tutela o curaduría se caracteriza porque confiere al guardador la representación legal del prohijado, </w:t>
      </w:r>
      <w:r w:rsidRPr="00104849">
        <w:rPr>
          <w:rFonts w:ascii="Verdana" w:hAnsi="Verdana"/>
          <w:sz w:val="22"/>
          <w:szCs w:val="22"/>
        </w:rPr>
        <w:lastRenderedPageBreak/>
        <w:t>así como la administración del patrimonio y la protección, y cuidado del representado.</w:t>
      </w:r>
    </w:p>
    <w:p w14:paraId="50F8D894"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En efecto, cuando una persona (con discapacidad mental o menor de edad) no puede administrar por sí misma sus bienes, corresponde en principio a la familia prodigar dicha administración, generándose excepcionalmente para el Estado una obligación de proteger especialmente a la persona colocada en situación de debilidad manifiesta; es por esta razón que a través de las curadurías o cúratelas el Estado brinda un mecanismo de protección en favor de aquellos que no pueden dirigirse a sí mismos, o administrar competentemente sus negocios, y que no se hallen bajo la potestad de sus padres, que puedan darles la protección debida.</w:t>
      </w:r>
    </w:p>
    <w:p w14:paraId="7599745D"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El ordenamiento legal ha diseñado a través de las guardas y concretamente a través de la cúratela, un instrumento jurídico que busca proteger los intereses económicos y personales de sujetos que padecen graves discapacidades físicas, psíquicas o sensoriales como la demencia, así como a los menores de edad, confiándole a las personas que el juez considere idóneas la administración de sus bienes, generalmente dentro de su núcleo familiar (cúratela legitima).</w:t>
      </w:r>
    </w:p>
    <w:p w14:paraId="1B120262" w14:textId="79EBC175"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El artículo 53 de la ley 1306 de 2009, estableció que:</w:t>
      </w:r>
    </w:p>
    <w:p w14:paraId="1CF220FA"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"La medida de protección de los impúberes no sometidos</w:t>
      </w:r>
      <w:r w:rsidRPr="00104849">
        <w:rPr>
          <w:rFonts w:ascii="Verdana" w:hAnsi="Verdana"/>
          <w:sz w:val="22"/>
          <w:szCs w:val="22"/>
        </w:rPr>
        <w:t> a </w:t>
      </w:r>
      <w:r w:rsidRPr="00104849">
        <w:rPr>
          <w:rFonts w:ascii="Verdana" w:hAnsi="Verdana"/>
          <w:i/>
          <w:iCs/>
          <w:sz w:val="22"/>
          <w:szCs w:val="22"/>
        </w:rPr>
        <w:t>patria potestad será una curaduría. La designación del curador, los requisitos de ejercicio de cargo y las facultades de acción serán las mismas que para los curadores de la persona con discapacidad mental absoluta.</w:t>
      </w:r>
    </w:p>
    <w:p w14:paraId="0FE7D337"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 xml:space="preserve">En la guarda personal de los impúberes, los curadores se ceñirán a las disposiciones del Código de la Infancia y la Adolescencia y las normas que le reglamenten, adicionen </w:t>
      </w:r>
      <w:proofErr w:type="spellStart"/>
      <w:r w:rsidRPr="00104849">
        <w:rPr>
          <w:rFonts w:ascii="Verdana" w:hAnsi="Verdana"/>
          <w:i/>
          <w:iCs/>
          <w:sz w:val="22"/>
          <w:szCs w:val="22"/>
        </w:rPr>
        <w:t>ó</w:t>
      </w:r>
      <w:proofErr w:type="spellEnd"/>
      <w:r w:rsidRPr="00104849">
        <w:rPr>
          <w:rFonts w:ascii="Verdana" w:hAnsi="Verdana"/>
          <w:i/>
          <w:iCs/>
          <w:sz w:val="22"/>
          <w:szCs w:val="22"/>
        </w:rPr>
        <w:t xml:space="preserve"> sustituyan.</w:t>
      </w:r>
    </w:p>
    <w:p w14:paraId="4B9EA7E4" w14:textId="6D1215B1"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Dispone esta ley en su artículo 63 que cualquiera de los padres puede designar curadores y administradores, por testamento, para sus hijos niños, niñas y adolescentes o personas con discapacidad mental absoluta, y aun para los hijos que están por nacer. La designación testamentaria de curadores o administradores estará en suspenso mientras el incapaz se encuentre sometido a patria potestad, pero una vez deje de estarlo adquirirá plena eficacia.</w:t>
      </w:r>
    </w:p>
    <w:p w14:paraId="209BB789" w14:textId="5DEF74F5"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Ahora, a falta de guarda legítima o testamentaria, encontramos la guarda dativa, que consiste según el artículo 69. </w:t>
      </w:r>
      <w:proofErr w:type="spellStart"/>
      <w:r w:rsidRPr="00104849">
        <w:rPr>
          <w:rFonts w:ascii="Verdana" w:hAnsi="Verdana"/>
          <w:sz w:val="22"/>
          <w:szCs w:val="22"/>
        </w:rPr>
        <w:t>Ibídem</w:t>
      </w:r>
      <w:proofErr w:type="spellEnd"/>
      <w:r w:rsidRPr="00104849">
        <w:rPr>
          <w:rFonts w:ascii="Verdana" w:hAnsi="Verdana"/>
          <w:sz w:val="22"/>
          <w:szCs w:val="22"/>
        </w:rPr>
        <w:t xml:space="preserve"> en que:</w:t>
      </w:r>
    </w:p>
    <w:p w14:paraId="10DCD738"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"A falta de otra guarda, tiene lugar la dativa.</w:t>
      </w:r>
    </w:p>
    <w:p w14:paraId="033927A9" w14:textId="276912F9"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La guarda dativa podrá recaer en las personas que de conformidad con lo dispuesto en el artículo 67 del Código de la Infancia y la Adolescencia y las normas que lo complementen, modifiquen o adicionen, han cuidado del menor o persona con discapacidad u otros miembros de grupo generado por solidaridad familiar e incluso los parientes afines que estén calificados para el ejercicio de la guarda.</w:t>
      </w:r>
    </w:p>
    <w:p w14:paraId="42B3273B"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lastRenderedPageBreak/>
        <w:t>El Juez designará el guardador principal y los suplentes que estime necesarios, conforme a las reglas de designación de auxiliares de la justicia y oyendo a los parientes del pupilo si es del caso.</w:t>
      </w:r>
    </w:p>
    <w:p w14:paraId="6DF4DC0C" w14:textId="77777777" w:rsidR="00104849" w:rsidRPr="00104849" w:rsidRDefault="00104849" w:rsidP="00104849">
      <w:pPr>
        <w:spacing w:line="240" w:lineRule="auto"/>
        <w:jc w:val="both"/>
        <w:rPr>
          <w:rFonts w:ascii="Verdana" w:hAnsi="Verdana"/>
          <w:sz w:val="22"/>
          <w:szCs w:val="22"/>
        </w:rPr>
      </w:pPr>
      <w:r w:rsidRPr="00104849">
        <w:rPr>
          <w:rFonts w:ascii="Verdana" w:hAnsi="Verdana"/>
          <w:i/>
          <w:iCs/>
          <w:sz w:val="22"/>
          <w:szCs w:val="22"/>
        </w:rPr>
        <w:t>La designación hecha por el Juez podrá ser impugnada por cualquiera de los parientes que, de acuerdo con esta ley, tengan el deber de promover los procesos de interdicción de personas con discapacidad mental absoluta”.</w:t>
      </w:r>
    </w:p>
    <w:p w14:paraId="65AAB27E" w14:textId="696AD390"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Igualmente, existe la posibilidad de solicitar al juez de familia que corresponda la designación de un curador especial de bienes a favor del niño, niña o adolescente que lo requiera, tal y como lo prevé el artículo 61 de la citada ley que reza: </w:t>
      </w:r>
      <w:r w:rsidRPr="00104849">
        <w:rPr>
          <w:rFonts w:ascii="Verdana" w:hAnsi="Verdana"/>
          <w:i/>
          <w:iCs/>
          <w:sz w:val="22"/>
          <w:szCs w:val="22"/>
        </w:rPr>
        <w:t>"Se da curador especial cuando se deba adelantar un asunto judicial o extrajudicial determinado y el interesado o afectado no pueda o no quiera comparecer o su representante legal se encuentre impedido de hacerlo”.</w:t>
      </w:r>
    </w:p>
    <w:p w14:paraId="608E689C" w14:textId="3557074D"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Por otro lado, la demanda judicial de designación de guarda o tutor para el niño, niña o adolescente que carece de representante legal, debe ser presentada ante el Juez de Familia, de conformidad con el artículo 40 de la Ley 1306 de 2009 y se tramitará mediante proceso verbal, de conformidad con los artículos 427 y siguientes del Código de Procedimiento Civil.</w:t>
      </w:r>
    </w:p>
    <w:p w14:paraId="52500488" w14:textId="3D081A28"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De conformidad con el artículo 42 de la ley 1306 de 2009, el Juez en la sentencia que designa al guardador del niño, niña o adolescente, además debe designar un auxiliar de la justicia, para que en el término de sesenta (60) días, proceda a confeccionar el inventario de bienes del menor de edad, para luego, proceder a posesionar al guardador, a quien le entregará en el mismo acto los bienes inventariados.</w:t>
      </w:r>
    </w:p>
    <w:p w14:paraId="62CAC9C5" w14:textId="7DC1767B"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Tales normas guardan completa relación con el título XXII del Código Civil, en cuyos artículos 428 y siguientes determina lo relativo a las tutelas y curadurías o cúratelas, en sus tres formas, testamentarias, legítimas y dativas.</w:t>
      </w:r>
    </w:p>
    <w:p w14:paraId="18AB67C8"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Así las cosas, los niños, niñas y adolescentes tienen protegido en la legislación colombiana su derecho a ser representado legalmente y a la administración de sus bienes, cuando por algún motivo no se encuentren bajo la patria potestad de sus progenitores, caso en el cual le puede ser designada una cúratela legítima, dativa o especial dependiendo las especiales circunstancias en que se encuentre el menor de edad.</w:t>
      </w:r>
    </w:p>
    <w:p w14:paraId="02B915A3" w14:textId="77777777"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rPr>
        <w:t>3. CONCLUSIONES</w:t>
      </w:r>
    </w:p>
    <w:p w14:paraId="117FC79D"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Primera: En atención al interés superior de los niños, niñas y adolescentes, el marco legal y constitucional del estado </w:t>
      </w:r>
      <w:proofErr w:type="gramStart"/>
      <w:r w:rsidRPr="00104849">
        <w:rPr>
          <w:rFonts w:ascii="Verdana" w:hAnsi="Verdana"/>
          <w:sz w:val="22"/>
          <w:szCs w:val="22"/>
        </w:rPr>
        <w:t>Colombiano</w:t>
      </w:r>
      <w:proofErr w:type="gramEnd"/>
      <w:r w:rsidRPr="00104849">
        <w:rPr>
          <w:rFonts w:ascii="Verdana" w:hAnsi="Verdana"/>
          <w:sz w:val="22"/>
          <w:szCs w:val="22"/>
        </w:rPr>
        <w:t xml:space="preserve"> es aplicable a todos los menores de edad que se encuentren dentro del territorio Nacional.</w:t>
      </w:r>
    </w:p>
    <w:p w14:paraId="6E198AC1"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Segunda: Conforme con lo anterior, los extranjeros que pretendan realizar la designación de curador testamentario de su hijo o hija menor de </w:t>
      </w:r>
      <w:proofErr w:type="gramStart"/>
      <w:r w:rsidRPr="00104849">
        <w:rPr>
          <w:rFonts w:ascii="Verdana" w:hAnsi="Verdana"/>
          <w:sz w:val="22"/>
          <w:szCs w:val="22"/>
        </w:rPr>
        <w:t>edad,</w:t>
      </w:r>
      <w:proofErr w:type="gramEnd"/>
      <w:r w:rsidRPr="00104849">
        <w:rPr>
          <w:rFonts w:ascii="Verdana" w:hAnsi="Verdana"/>
          <w:sz w:val="22"/>
          <w:szCs w:val="22"/>
        </w:rPr>
        <w:t xml:space="preserve"> pueden adelantar el trámite conforme a las normas sustanciales y procedimentales de nuestro país.</w:t>
      </w:r>
    </w:p>
    <w:p w14:paraId="64ED1236"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Tercera: En atención a las consideraciones de orden legal analizadas, la persona designada como curador de un menor de edad ejerce tanto su representación </w:t>
      </w:r>
      <w:r w:rsidRPr="00104849">
        <w:rPr>
          <w:rFonts w:ascii="Verdana" w:hAnsi="Verdana"/>
          <w:sz w:val="22"/>
          <w:szCs w:val="22"/>
        </w:rPr>
        <w:lastRenderedPageBreak/>
        <w:t>legal como la administración de sus bienes, motivo por el cual tiene la potestad de elegir el país en que ha de domiciliarse junto con su pupilo.</w:t>
      </w:r>
    </w:p>
    <w:p w14:paraId="75E08472" w14:textId="40C9A93A"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Cuarto: Los niños, niñas o adolescente que pretendan salir del país con su representante legal o con persona diferente a este deberán presentar ante la oficina de migración los documentos contemplados para el efecto en el artículo 52 del Decreto 834 de 2013.</w:t>
      </w:r>
    </w:p>
    <w:p w14:paraId="4145F9A8" w14:textId="6A121DCD"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 xml:space="preserve">Finalmente, es preciso indicar que el presente </w:t>
      </w:r>
      <w:proofErr w:type="gramStart"/>
      <w:r w:rsidRPr="00104849">
        <w:rPr>
          <w:rFonts w:ascii="Verdana" w:hAnsi="Verdana"/>
          <w:sz w:val="22"/>
          <w:szCs w:val="22"/>
        </w:rPr>
        <w:t>concepto</w:t>
      </w:r>
      <w:r w:rsidRPr="00104849">
        <w:rPr>
          <w:rFonts w:ascii="Verdana" w:hAnsi="Verdana"/>
          <w:sz w:val="22"/>
          <w:szCs w:val="22"/>
          <w:vertAlign w:val="subscript"/>
        </w:rPr>
        <w:t>[</w:t>
      </w:r>
      <w:proofErr w:type="gramEnd"/>
      <w:r w:rsidRPr="00104849">
        <w:rPr>
          <w:rFonts w:ascii="Verdana" w:hAnsi="Verdana"/>
          <w:sz w:val="22"/>
          <w:szCs w:val="22"/>
          <w:vertAlign w:val="subscript"/>
        </w:rPr>
        <w:t>11]</w:t>
      </w:r>
      <w:r w:rsidRPr="00104849">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104849">
        <w:rPr>
          <w:rFonts w:ascii="Verdana" w:hAnsi="Verdana"/>
          <w:sz w:val="22"/>
          <w:szCs w:val="22"/>
        </w:rPr>
        <w:t>obstante</w:t>
      </w:r>
      <w:proofErr w:type="gramEnd"/>
      <w:r w:rsidRPr="0010484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B4B5681" w14:textId="77777777" w:rsidR="00104849" w:rsidRDefault="00104849" w:rsidP="00104849">
      <w:pPr>
        <w:spacing w:line="240" w:lineRule="auto"/>
        <w:jc w:val="both"/>
        <w:rPr>
          <w:rFonts w:ascii="Verdana" w:hAnsi="Verdana"/>
          <w:sz w:val="22"/>
          <w:szCs w:val="22"/>
        </w:rPr>
      </w:pPr>
    </w:p>
    <w:p w14:paraId="34877FC4" w14:textId="07802D02"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Cordialmente,</w:t>
      </w:r>
    </w:p>
    <w:p w14:paraId="72DF9C68" w14:textId="77777777" w:rsidR="00104849" w:rsidRDefault="00104849" w:rsidP="00104849">
      <w:pPr>
        <w:spacing w:line="240" w:lineRule="auto"/>
        <w:jc w:val="both"/>
        <w:rPr>
          <w:rFonts w:ascii="Verdana" w:hAnsi="Verdana"/>
          <w:b/>
          <w:bCs/>
          <w:sz w:val="22"/>
          <w:szCs w:val="22"/>
        </w:rPr>
      </w:pPr>
    </w:p>
    <w:p w14:paraId="4D3D64F5" w14:textId="59FA5018" w:rsidR="00104849" w:rsidRPr="00104849" w:rsidRDefault="00104849" w:rsidP="00104849">
      <w:pPr>
        <w:spacing w:line="240" w:lineRule="auto"/>
        <w:jc w:val="both"/>
        <w:rPr>
          <w:rFonts w:ascii="Verdana" w:hAnsi="Verdana"/>
          <w:sz w:val="22"/>
          <w:szCs w:val="22"/>
        </w:rPr>
      </w:pPr>
      <w:r w:rsidRPr="00104849">
        <w:rPr>
          <w:rFonts w:ascii="Verdana" w:hAnsi="Verdana"/>
          <w:b/>
          <w:bCs/>
          <w:sz w:val="22"/>
          <w:szCs w:val="22"/>
        </w:rPr>
        <w:t>LUZ KARIME FERNANDEZ CASTILLO</w:t>
      </w:r>
    </w:p>
    <w:p w14:paraId="4756F447" w14:textId="77777777" w:rsidR="00104849" w:rsidRPr="00104849" w:rsidRDefault="00104849" w:rsidP="00104849">
      <w:pPr>
        <w:spacing w:line="240" w:lineRule="auto"/>
        <w:jc w:val="both"/>
        <w:rPr>
          <w:rFonts w:ascii="Verdana" w:hAnsi="Verdana"/>
          <w:sz w:val="22"/>
          <w:szCs w:val="22"/>
        </w:rPr>
      </w:pPr>
      <w:r w:rsidRPr="00104849">
        <w:rPr>
          <w:rFonts w:ascii="Verdana" w:hAnsi="Verdana"/>
          <w:sz w:val="22"/>
          <w:szCs w:val="22"/>
        </w:rPr>
        <w:t>Jefe Oficina Asesora Jurídica</w:t>
      </w:r>
    </w:p>
    <w:p w14:paraId="16DA9106" w14:textId="77777777" w:rsidR="00104849" w:rsidRDefault="00104849" w:rsidP="00104849">
      <w:pPr>
        <w:spacing w:line="240" w:lineRule="auto"/>
        <w:jc w:val="both"/>
        <w:rPr>
          <w:rFonts w:ascii="Verdana" w:hAnsi="Verdana"/>
          <w:b/>
          <w:bCs/>
          <w:sz w:val="22"/>
          <w:szCs w:val="22"/>
        </w:rPr>
      </w:pPr>
    </w:p>
    <w:p w14:paraId="6DE6297F" w14:textId="43F13066" w:rsidR="00104849" w:rsidRPr="00104849" w:rsidRDefault="00104849" w:rsidP="00104849">
      <w:pPr>
        <w:spacing w:line="240" w:lineRule="auto"/>
        <w:jc w:val="both"/>
        <w:rPr>
          <w:rFonts w:ascii="Verdana" w:hAnsi="Verdana"/>
          <w:b/>
          <w:bCs/>
          <w:sz w:val="22"/>
          <w:szCs w:val="22"/>
        </w:rPr>
      </w:pPr>
      <w:r w:rsidRPr="00104849">
        <w:rPr>
          <w:rFonts w:ascii="Verdana" w:hAnsi="Verdana"/>
          <w:b/>
          <w:bCs/>
          <w:sz w:val="22"/>
          <w:szCs w:val="22"/>
        </w:rPr>
        <w:t>Notas Pie de Página:</w:t>
      </w:r>
    </w:p>
    <w:p w14:paraId="31D2E7F2" w14:textId="551DECFB"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Ley 1098 del 8 de noviembre de 2006.</w:t>
      </w:r>
    </w:p>
    <w:p w14:paraId="0318FDAB" w14:textId="51786954"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Corte Constitucional, sentencia T-408-95, expediente T-71149, M.P: Eduardo Cifuentes Muñoz.</w:t>
      </w:r>
    </w:p>
    <w:p w14:paraId="70C838EC" w14:textId="4FA7138F"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T-503 de 2003 y T-397 de 2004 (MP. Manuel José Cepeda Espinosa). Cita sacada de la sentencia T-502 de 2011, expediente T-2622716, M.P: Jorge Ignacio Pretelt Chaljub.</w:t>
      </w:r>
    </w:p>
    <w:p w14:paraId="4C3CB198" w14:textId="6D70F4B4"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Corte Constitucional, sentencia T-587 de 1997, M.P. Dr. Eduardo Cifuentes Muñoz</w:t>
      </w:r>
    </w:p>
    <w:p w14:paraId="4F75E85D" w14:textId="19CD3CF5"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Decreto 834 de 2013, artículo 4.</w:t>
      </w:r>
    </w:p>
    <w:p w14:paraId="796010F2" w14:textId="22495020"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Decreto 834 de 2013, artículo 30.</w:t>
      </w:r>
    </w:p>
    <w:p w14:paraId="757719F5" w14:textId="70834DF1"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Decreto 834 de 2013, artículo 33.</w:t>
      </w:r>
    </w:p>
    <w:p w14:paraId="752BCA8E" w14:textId="33135E19"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Artículo 81 del Código Civil</w:t>
      </w:r>
    </w:p>
    <w:p w14:paraId="2C06A1D9" w14:textId="5C278BDD"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Ley 1098 de 2006, Art. 4.</w:t>
      </w:r>
    </w:p>
    <w:p w14:paraId="157BC9D7" w14:textId="73F2461C"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Decreto 834 de 2013, Art. 52.</w:t>
      </w:r>
    </w:p>
    <w:p w14:paraId="48FB05F0" w14:textId="57222E2C" w:rsidR="00104849" w:rsidRPr="00104849" w:rsidRDefault="00104849" w:rsidP="00104849">
      <w:pPr>
        <w:pStyle w:val="Prrafodelista"/>
        <w:numPr>
          <w:ilvl w:val="0"/>
          <w:numId w:val="31"/>
        </w:numPr>
        <w:spacing w:line="240" w:lineRule="auto"/>
        <w:jc w:val="both"/>
        <w:rPr>
          <w:rFonts w:ascii="Verdana" w:hAnsi="Verdana"/>
          <w:sz w:val="22"/>
          <w:szCs w:val="22"/>
        </w:rPr>
      </w:pPr>
      <w:r w:rsidRPr="00104849">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w:t>
      </w:r>
      <w:r w:rsidRPr="00104849">
        <w:rPr>
          <w:rFonts w:ascii="Verdana" w:hAnsi="Verdana"/>
          <w:sz w:val="22"/>
          <w:szCs w:val="22"/>
        </w:rPr>
        <w:lastRenderedPageBreak/>
        <w:t>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w:t>
      </w:r>
    </w:p>
    <w:p w14:paraId="4D77D58F" w14:textId="77777777" w:rsidR="008161D5" w:rsidRPr="00104849" w:rsidRDefault="008161D5" w:rsidP="0043201B">
      <w:pPr>
        <w:spacing w:line="240" w:lineRule="auto"/>
        <w:jc w:val="both"/>
        <w:rPr>
          <w:rFonts w:ascii="Verdana" w:hAnsi="Verdana"/>
          <w:sz w:val="22"/>
          <w:szCs w:val="22"/>
          <w:lang w:val="es-ES"/>
        </w:rPr>
      </w:pPr>
    </w:p>
    <w:sectPr w:rsidR="008161D5" w:rsidRPr="001048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3"/>
  </w:num>
  <w:num w:numId="4" w16cid:durableId="330566206">
    <w:abstractNumId w:val="7"/>
  </w:num>
  <w:num w:numId="5" w16cid:durableId="1909916623">
    <w:abstractNumId w:val="19"/>
  </w:num>
  <w:num w:numId="6" w16cid:durableId="1497724726">
    <w:abstractNumId w:val="10"/>
  </w:num>
  <w:num w:numId="7" w16cid:durableId="1713074486">
    <w:abstractNumId w:val="27"/>
  </w:num>
  <w:num w:numId="8" w16cid:durableId="828984851">
    <w:abstractNumId w:val="21"/>
  </w:num>
  <w:num w:numId="9" w16cid:durableId="1601328956">
    <w:abstractNumId w:val="24"/>
  </w:num>
  <w:num w:numId="10" w16cid:durableId="1471245638">
    <w:abstractNumId w:val="25"/>
  </w:num>
  <w:num w:numId="11" w16cid:durableId="696661912">
    <w:abstractNumId w:val="5"/>
  </w:num>
  <w:num w:numId="12" w16cid:durableId="1327126383">
    <w:abstractNumId w:val="12"/>
  </w:num>
  <w:num w:numId="13" w16cid:durableId="313028176">
    <w:abstractNumId w:val="20"/>
  </w:num>
  <w:num w:numId="14" w16cid:durableId="775095928">
    <w:abstractNumId w:val="28"/>
  </w:num>
  <w:num w:numId="15" w16cid:durableId="383335626">
    <w:abstractNumId w:val="16"/>
  </w:num>
  <w:num w:numId="16" w16cid:durableId="1391727613">
    <w:abstractNumId w:val="26"/>
  </w:num>
  <w:num w:numId="17" w16cid:durableId="644623475">
    <w:abstractNumId w:val="30"/>
  </w:num>
  <w:num w:numId="18" w16cid:durableId="355160029">
    <w:abstractNumId w:val="14"/>
  </w:num>
  <w:num w:numId="19" w16cid:durableId="2008436971">
    <w:abstractNumId w:val="0"/>
  </w:num>
  <w:num w:numId="20" w16cid:durableId="185993990">
    <w:abstractNumId w:val="15"/>
  </w:num>
  <w:num w:numId="21" w16cid:durableId="1589341576">
    <w:abstractNumId w:val="18"/>
  </w:num>
  <w:num w:numId="22" w16cid:durableId="2059206924">
    <w:abstractNumId w:val="22"/>
  </w:num>
  <w:num w:numId="23" w16cid:durableId="873351603">
    <w:abstractNumId w:val="2"/>
  </w:num>
  <w:num w:numId="24" w16cid:durableId="2141683708">
    <w:abstractNumId w:val="3"/>
  </w:num>
  <w:num w:numId="25" w16cid:durableId="1060788634">
    <w:abstractNumId w:val="11"/>
  </w:num>
  <w:num w:numId="26" w16cid:durableId="1795057575">
    <w:abstractNumId w:val="9"/>
  </w:num>
  <w:num w:numId="27" w16cid:durableId="1585795131">
    <w:abstractNumId w:val="6"/>
  </w:num>
  <w:num w:numId="28" w16cid:durableId="1728184922">
    <w:abstractNumId w:val="17"/>
  </w:num>
  <w:num w:numId="29" w16cid:durableId="1012875484">
    <w:abstractNumId w:val="8"/>
  </w:num>
  <w:num w:numId="30" w16cid:durableId="947350828">
    <w:abstractNumId w:val="29"/>
  </w:num>
  <w:num w:numId="31" w16cid:durableId="7743742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A51CD"/>
    <w:rsid w:val="003E14A4"/>
    <w:rsid w:val="003F5ABD"/>
    <w:rsid w:val="004005A5"/>
    <w:rsid w:val="004032C9"/>
    <w:rsid w:val="00404622"/>
    <w:rsid w:val="0043201B"/>
    <w:rsid w:val="00464D81"/>
    <w:rsid w:val="004B5C62"/>
    <w:rsid w:val="004C739F"/>
    <w:rsid w:val="004E635F"/>
    <w:rsid w:val="00522476"/>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A241F"/>
    <w:rsid w:val="008B5891"/>
    <w:rsid w:val="008D3D94"/>
    <w:rsid w:val="009159F9"/>
    <w:rsid w:val="00921957"/>
    <w:rsid w:val="0093086C"/>
    <w:rsid w:val="0096208E"/>
    <w:rsid w:val="0099298F"/>
    <w:rsid w:val="00993BB6"/>
    <w:rsid w:val="009A02E2"/>
    <w:rsid w:val="009A15F7"/>
    <w:rsid w:val="009A2F0F"/>
    <w:rsid w:val="009B7E6E"/>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40E92"/>
    <w:rsid w:val="00D6102A"/>
    <w:rsid w:val="00D61345"/>
    <w:rsid w:val="00D61853"/>
    <w:rsid w:val="00D96A0B"/>
    <w:rsid w:val="00DA022A"/>
    <w:rsid w:val="00E56025"/>
    <w:rsid w:val="00E56719"/>
    <w:rsid w:val="00E61C80"/>
    <w:rsid w:val="00E642C9"/>
    <w:rsid w:val="00E73F67"/>
    <w:rsid w:val="00E857BE"/>
    <w:rsid w:val="00E9099E"/>
    <w:rsid w:val="00E9720D"/>
    <w:rsid w:val="00EA7F32"/>
    <w:rsid w:val="00EC1640"/>
    <w:rsid w:val="00EE5641"/>
    <w:rsid w:val="00EF582B"/>
    <w:rsid w:val="00F11CE0"/>
    <w:rsid w:val="00F647D6"/>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8C22C13-05C8-41E6-8F8D-C1EDA9A85863}"/>
</file>

<file path=customXml/itemProps2.xml><?xml version="1.0" encoding="utf-8"?>
<ds:datastoreItem xmlns:ds="http://schemas.openxmlformats.org/officeDocument/2006/customXml" ds:itemID="{FCFD1619-1BC4-4B93-917D-C94A49B415BB}"/>
</file>

<file path=customXml/itemProps3.xml><?xml version="1.0" encoding="utf-8"?>
<ds:datastoreItem xmlns:ds="http://schemas.openxmlformats.org/officeDocument/2006/customXml" ds:itemID="{71E1BA4C-A470-4EA5-AF7B-A66765852FD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137</TotalTime>
  <Pages>9</Pages>
  <Words>3480</Words>
  <Characters>19140</Characters>
  <Application>Microsoft Office Word</Application>
  <DocSecurity>0</DocSecurity>
  <Lines>159</Lines>
  <Paragraphs>45</Paragraphs>
  <ScaleCrop>false</ScaleCrop>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85</cp:revision>
  <dcterms:created xsi:type="dcterms:W3CDTF">2026-05-08T19:08:00Z</dcterms:created>
  <dcterms:modified xsi:type="dcterms:W3CDTF">2026-07-12T18:37:00Z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