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65E9" w14:textId="77777777" w:rsidR="000F3413" w:rsidRPr="008B196C" w:rsidRDefault="000F3413" w:rsidP="008B196C">
      <w:pPr>
        <w:jc w:val="center"/>
        <w:rPr>
          <w:rFonts w:ascii="Verdana" w:hAnsi="Verdana"/>
          <w:sz w:val="22"/>
          <w:szCs w:val="22"/>
        </w:rPr>
      </w:pPr>
      <w:r w:rsidRPr="008B196C">
        <w:rPr>
          <w:rFonts w:ascii="Verdana" w:hAnsi="Verdana"/>
          <w:b/>
          <w:bCs/>
          <w:sz w:val="22"/>
          <w:szCs w:val="22"/>
        </w:rPr>
        <w:t>CONCEPTO 59 DE 2016</w:t>
      </w:r>
    </w:p>
    <w:p w14:paraId="37FA5ABC" w14:textId="77777777" w:rsidR="000F3413" w:rsidRPr="008B196C" w:rsidRDefault="000F3413" w:rsidP="008B196C">
      <w:pPr>
        <w:jc w:val="center"/>
        <w:rPr>
          <w:rFonts w:ascii="Verdana" w:hAnsi="Verdana"/>
          <w:sz w:val="22"/>
          <w:szCs w:val="22"/>
        </w:rPr>
      </w:pPr>
      <w:r w:rsidRPr="008B196C">
        <w:rPr>
          <w:rFonts w:ascii="Verdana" w:hAnsi="Verdana"/>
          <w:sz w:val="22"/>
          <w:szCs w:val="22"/>
        </w:rPr>
        <w:t>(junio 9)</w:t>
      </w:r>
    </w:p>
    <w:p w14:paraId="7D89AC43" w14:textId="77777777" w:rsidR="000F3413" w:rsidRPr="008B196C" w:rsidRDefault="000F3413" w:rsidP="008B196C">
      <w:pPr>
        <w:jc w:val="center"/>
        <w:rPr>
          <w:rFonts w:ascii="Verdana" w:hAnsi="Verdana"/>
          <w:sz w:val="22"/>
          <w:szCs w:val="22"/>
        </w:rPr>
      </w:pPr>
      <w:r w:rsidRPr="008B196C">
        <w:rPr>
          <w:rFonts w:ascii="Verdana" w:hAnsi="Verdana"/>
          <w:b/>
          <w:bCs/>
          <w:sz w:val="22"/>
          <w:szCs w:val="22"/>
        </w:rPr>
        <w:t>INSTITUTO COLOMBIANO DE BIENESTAR FAMILIAR</w:t>
      </w:r>
    </w:p>
    <w:p w14:paraId="19916B44" w14:textId="77777777" w:rsidR="008B196C" w:rsidRDefault="008B196C" w:rsidP="008B196C">
      <w:pPr>
        <w:jc w:val="both"/>
        <w:rPr>
          <w:rFonts w:ascii="Verdana" w:hAnsi="Verdana"/>
          <w:sz w:val="22"/>
          <w:szCs w:val="22"/>
        </w:rPr>
      </w:pPr>
    </w:p>
    <w:p w14:paraId="11DA6254" w14:textId="39840A71" w:rsidR="008B196C" w:rsidRDefault="008B196C" w:rsidP="008B196C">
      <w:pPr>
        <w:jc w:val="both"/>
        <w:rPr>
          <w:rFonts w:ascii="Verdana" w:hAnsi="Verdana"/>
          <w:sz w:val="22"/>
          <w:szCs w:val="22"/>
        </w:rPr>
      </w:pPr>
      <w:r w:rsidRPr="008B196C">
        <w:rPr>
          <w:rFonts w:ascii="Verdana" w:hAnsi="Verdana"/>
          <w:b/>
          <w:bCs/>
          <w:sz w:val="22"/>
          <w:szCs w:val="22"/>
        </w:rPr>
        <w:t>ASUNTO:</w:t>
      </w:r>
      <w:r>
        <w:rPr>
          <w:rFonts w:ascii="Verdana" w:hAnsi="Verdana"/>
          <w:sz w:val="22"/>
          <w:szCs w:val="22"/>
        </w:rPr>
        <w:t xml:space="preserve"> </w:t>
      </w:r>
      <w:r w:rsidRPr="008B196C">
        <w:rPr>
          <w:rFonts w:ascii="Verdana" w:hAnsi="Verdana"/>
          <w:sz w:val="22"/>
          <w:szCs w:val="22"/>
        </w:rPr>
        <w:t>Solicitud de concepto radicado bajo el No. 253998 del 2 de junio de 2016.</w:t>
      </w:r>
    </w:p>
    <w:p w14:paraId="62184F71" w14:textId="4DC5E060" w:rsidR="008B196C" w:rsidRDefault="008B196C" w:rsidP="008B196C">
      <w:pPr>
        <w:jc w:val="both"/>
        <w:rPr>
          <w:rFonts w:ascii="Verdana" w:hAnsi="Verdana"/>
          <w:sz w:val="22"/>
          <w:szCs w:val="22"/>
        </w:rPr>
      </w:pPr>
      <w:r w:rsidRPr="008B196C">
        <w:rPr>
          <w:rFonts w:ascii="Verdana" w:hAnsi="Verdana"/>
          <w:b/>
          <w:bCs/>
          <w:sz w:val="22"/>
          <w:szCs w:val="22"/>
        </w:rPr>
        <w:t>PARA:</w:t>
      </w:r>
      <w:r>
        <w:rPr>
          <w:rFonts w:ascii="Verdana" w:hAnsi="Verdana"/>
          <w:sz w:val="22"/>
          <w:szCs w:val="22"/>
        </w:rPr>
        <w:t xml:space="preserve"> </w:t>
      </w:r>
      <w:proofErr w:type="gramStart"/>
      <w:r w:rsidRPr="008B196C">
        <w:rPr>
          <w:rFonts w:ascii="Verdana" w:hAnsi="Verdana"/>
          <w:sz w:val="22"/>
          <w:szCs w:val="22"/>
        </w:rPr>
        <w:t>Directora</w:t>
      </w:r>
      <w:proofErr w:type="gramEnd"/>
      <w:r w:rsidRPr="008B196C">
        <w:rPr>
          <w:rFonts w:ascii="Verdana" w:hAnsi="Verdana"/>
          <w:sz w:val="22"/>
          <w:szCs w:val="22"/>
        </w:rPr>
        <w:t xml:space="preserve"> de Familias y Comunidades (E)</w:t>
      </w:r>
    </w:p>
    <w:p w14:paraId="3312FA99" w14:textId="05726D5E" w:rsidR="000F3413" w:rsidRPr="008B196C" w:rsidRDefault="000F3413" w:rsidP="008B196C">
      <w:pPr>
        <w:jc w:val="both"/>
        <w:rPr>
          <w:rFonts w:ascii="Verdana" w:hAnsi="Verdana"/>
          <w:sz w:val="22"/>
          <w:szCs w:val="22"/>
        </w:rPr>
      </w:pPr>
      <w:r w:rsidRPr="008B196C">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A248423" w14:textId="02F9594E" w:rsidR="000F3413" w:rsidRPr="008B196C" w:rsidRDefault="000F3413" w:rsidP="008B196C">
      <w:pPr>
        <w:pStyle w:val="Prrafodelista"/>
        <w:numPr>
          <w:ilvl w:val="0"/>
          <w:numId w:val="4"/>
        </w:numPr>
        <w:jc w:val="both"/>
        <w:rPr>
          <w:rFonts w:ascii="Verdana" w:hAnsi="Verdana"/>
          <w:sz w:val="22"/>
          <w:szCs w:val="22"/>
        </w:rPr>
      </w:pPr>
      <w:r w:rsidRPr="008B196C">
        <w:rPr>
          <w:rFonts w:ascii="Verdana" w:hAnsi="Verdana"/>
          <w:b/>
          <w:bCs/>
          <w:sz w:val="22"/>
          <w:szCs w:val="22"/>
          <w:u w:val="single"/>
        </w:rPr>
        <w:t>PROBLEMA JURÍDICO</w:t>
      </w:r>
    </w:p>
    <w:p w14:paraId="65EE3AA2" w14:textId="77777777" w:rsidR="000F3413" w:rsidRPr="008B196C" w:rsidRDefault="000F3413" w:rsidP="008B196C">
      <w:pPr>
        <w:jc w:val="both"/>
        <w:rPr>
          <w:rFonts w:ascii="Verdana" w:hAnsi="Verdana"/>
          <w:sz w:val="22"/>
          <w:szCs w:val="22"/>
        </w:rPr>
      </w:pPr>
      <w:r w:rsidRPr="008B196C">
        <w:rPr>
          <w:rFonts w:ascii="Verdana" w:hAnsi="Verdana"/>
          <w:sz w:val="22"/>
          <w:szCs w:val="22"/>
        </w:rPr>
        <w:t>¿Cuál es el trámite y requisitos para otorgar o reconocer personería jurídica por parte del ICBF, a una Fundación extranjera sin ánimo de lucro que no cuenta con sucursal en Colombia y que opera a través de una Organización Asociada Estratégica en Colombia?</w:t>
      </w:r>
    </w:p>
    <w:p w14:paraId="7F4C45DE" w14:textId="1ED6C413" w:rsidR="000F3413" w:rsidRPr="008B196C" w:rsidRDefault="000F3413" w:rsidP="008B196C">
      <w:pPr>
        <w:pStyle w:val="Prrafodelista"/>
        <w:numPr>
          <w:ilvl w:val="0"/>
          <w:numId w:val="4"/>
        </w:numPr>
        <w:jc w:val="both"/>
        <w:rPr>
          <w:rFonts w:ascii="Verdana" w:hAnsi="Verdana"/>
          <w:sz w:val="22"/>
          <w:szCs w:val="22"/>
        </w:rPr>
      </w:pPr>
      <w:r w:rsidRPr="008B196C">
        <w:rPr>
          <w:rFonts w:ascii="Verdana" w:hAnsi="Verdana"/>
          <w:b/>
          <w:bCs/>
          <w:sz w:val="22"/>
          <w:szCs w:val="22"/>
          <w:u w:val="single"/>
        </w:rPr>
        <w:t>ANÁLISIS DEL PROBLEMA JURÍDICO</w:t>
      </w:r>
    </w:p>
    <w:p w14:paraId="2C2160DE" w14:textId="77777777" w:rsidR="000F3413" w:rsidRPr="008B196C" w:rsidRDefault="000F3413" w:rsidP="008B196C">
      <w:pPr>
        <w:jc w:val="both"/>
        <w:rPr>
          <w:rFonts w:ascii="Verdana" w:hAnsi="Verdana"/>
          <w:sz w:val="22"/>
          <w:szCs w:val="22"/>
        </w:rPr>
      </w:pPr>
      <w:r w:rsidRPr="008B196C">
        <w:rPr>
          <w:rFonts w:ascii="Verdana" w:hAnsi="Verdana"/>
          <w:sz w:val="22"/>
          <w:szCs w:val="22"/>
        </w:rPr>
        <w:t>Se abordará el tema analizando: (2.1) Generalidades de las Personas Jurídicas, (2.2) el Servicio Público de Bienestar Familiar, (2.3) normatividad aplicable para el reconocimiento de las personerías jurídicas por el ICBF; (2.4) Reconocimiento y otorgamiento de la personería jurídica y (2.5) las preguntas en concreto.</w:t>
      </w:r>
    </w:p>
    <w:p w14:paraId="178DEB02" w14:textId="77777777" w:rsidR="000F3413" w:rsidRPr="008B196C" w:rsidRDefault="000F3413" w:rsidP="008B196C">
      <w:pPr>
        <w:jc w:val="both"/>
        <w:rPr>
          <w:rFonts w:ascii="Verdana" w:hAnsi="Verdana"/>
          <w:sz w:val="22"/>
          <w:szCs w:val="22"/>
        </w:rPr>
      </w:pPr>
      <w:r w:rsidRPr="008B196C">
        <w:rPr>
          <w:rFonts w:ascii="Verdana" w:hAnsi="Verdana"/>
          <w:b/>
          <w:bCs/>
          <w:sz w:val="22"/>
          <w:szCs w:val="22"/>
          <w:u w:val="single"/>
        </w:rPr>
        <w:t>(2.1) Generalidades de las Personas Jurídicas</w:t>
      </w:r>
    </w:p>
    <w:p w14:paraId="3A7D74B5" w14:textId="779CF011" w:rsidR="000F3413" w:rsidRPr="008B196C" w:rsidRDefault="000F3413" w:rsidP="008B196C">
      <w:pPr>
        <w:jc w:val="both"/>
        <w:rPr>
          <w:rFonts w:ascii="Verdana" w:hAnsi="Verdana"/>
          <w:sz w:val="22"/>
          <w:szCs w:val="22"/>
        </w:rPr>
      </w:pPr>
      <w:r w:rsidRPr="008B196C">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79F31A71" w14:textId="77777777" w:rsidR="000F3413" w:rsidRPr="008B196C" w:rsidRDefault="000F3413" w:rsidP="008B196C">
      <w:pPr>
        <w:jc w:val="both"/>
        <w:rPr>
          <w:rFonts w:ascii="Verdana" w:hAnsi="Verdana"/>
          <w:sz w:val="22"/>
          <w:szCs w:val="22"/>
        </w:rPr>
      </w:pPr>
      <w:r w:rsidRPr="008B196C">
        <w:rPr>
          <w:rFonts w:ascii="Verdana" w:hAnsi="Verdana"/>
          <w:sz w:val="22"/>
          <w:szCs w:val="22"/>
        </w:rPr>
        <w:t xml:space="preserve">En este sentido es preciso mencionar que se llaman personas </w:t>
      </w:r>
      <w:proofErr w:type="gramStart"/>
      <w:r w:rsidRPr="008B196C">
        <w:rPr>
          <w:rFonts w:ascii="Verdana" w:hAnsi="Verdana"/>
          <w:sz w:val="22"/>
          <w:szCs w:val="22"/>
        </w:rPr>
        <w:t>jurídicas</w:t>
      </w:r>
      <w:r w:rsidRPr="008B196C">
        <w:rPr>
          <w:rFonts w:ascii="Verdana" w:hAnsi="Verdana"/>
          <w:sz w:val="22"/>
          <w:szCs w:val="22"/>
          <w:vertAlign w:val="subscript"/>
        </w:rPr>
        <w:t>[</w:t>
      </w:r>
      <w:proofErr w:type="gramEnd"/>
      <w:r w:rsidRPr="008B196C">
        <w:rPr>
          <w:rFonts w:ascii="Verdana" w:hAnsi="Verdana"/>
          <w:sz w:val="22"/>
          <w:szCs w:val="22"/>
          <w:vertAlign w:val="subscript"/>
        </w:rPr>
        <w:t>1]</w:t>
      </w:r>
      <w:r w:rsidRPr="008B196C">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7E4A6752" w14:textId="77777777" w:rsidR="000F3413" w:rsidRPr="008B196C" w:rsidRDefault="000F3413" w:rsidP="008B196C">
      <w:pPr>
        <w:jc w:val="both"/>
        <w:rPr>
          <w:rFonts w:ascii="Verdana" w:hAnsi="Verdana"/>
          <w:sz w:val="22"/>
          <w:szCs w:val="22"/>
        </w:rPr>
      </w:pPr>
      <w:r w:rsidRPr="008B196C">
        <w:rPr>
          <w:rFonts w:ascii="Verdana" w:hAnsi="Verdana"/>
          <w:sz w:val="22"/>
          <w:szCs w:val="22"/>
        </w:rPr>
        <w:lastRenderedPageBreak/>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076AA1D0" w14:textId="77777777" w:rsidR="000F3413" w:rsidRPr="008B196C" w:rsidRDefault="000F3413" w:rsidP="008B196C">
      <w:pPr>
        <w:jc w:val="both"/>
        <w:rPr>
          <w:rFonts w:ascii="Verdana" w:hAnsi="Verdana"/>
          <w:sz w:val="22"/>
          <w:szCs w:val="22"/>
        </w:rPr>
      </w:pPr>
      <w:r w:rsidRPr="008B196C">
        <w:rPr>
          <w:rFonts w:ascii="Verdana" w:hAnsi="Verdana"/>
          <w:sz w:val="22"/>
          <w:szCs w:val="22"/>
        </w:rPr>
        <w:t xml:space="preserve">Así las </w:t>
      </w:r>
      <w:proofErr w:type="gramStart"/>
      <w:r w:rsidRPr="008B196C">
        <w:rPr>
          <w:rFonts w:ascii="Verdana" w:hAnsi="Verdana"/>
          <w:sz w:val="22"/>
          <w:szCs w:val="22"/>
        </w:rPr>
        <w:t>cosas</w:t>
      </w:r>
      <w:proofErr w:type="gramEnd"/>
      <w:r w:rsidRPr="008B196C">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w:t>
      </w:r>
    </w:p>
    <w:p w14:paraId="20CE6721" w14:textId="77777777" w:rsidR="000F3413" w:rsidRPr="008B196C" w:rsidRDefault="000F3413" w:rsidP="008B196C">
      <w:pPr>
        <w:jc w:val="both"/>
        <w:rPr>
          <w:rFonts w:ascii="Verdana" w:hAnsi="Verdana"/>
          <w:sz w:val="22"/>
          <w:szCs w:val="22"/>
        </w:rPr>
      </w:pPr>
      <w:r w:rsidRPr="008B196C">
        <w:rPr>
          <w:rFonts w:ascii="Verdana" w:hAnsi="Verdana"/>
          <w:b/>
          <w:bCs/>
          <w:sz w:val="22"/>
          <w:szCs w:val="22"/>
          <w:u w:val="single"/>
        </w:rPr>
        <w:t>(2.2) El Servicio Público de Bienestar Familiar</w:t>
      </w:r>
    </w:p>
    <w:p w14:paraId="29572A2B" w14:textId="77777777" w:rsidR="000F3413" w:rsidRPr="008B196C" w:rsidRDefault="000F3413" w:rsidP="008B196C">
      <w:pPr>
        <w:jc w:val="both"/>
        <w:rPr>
          <w:rFonts w:ascii="Verdana" w:hAnsi="Verdana"/>
          <w:sz w:val="22"/>
          <w:szCs w:val="22"/>
        </w:rPr>
      </w:pPr>
      <w:r w:rsidRPr="008B196C">
        <w:rPr>
          <w:rFonts w:ascii="Verdana" w:hAnsi="Verdana"/>
          <w:sz w:val="22"/>
          <w:szCs w:val="22"/>
        </w:rPr>
        <w:t>El Servicio Público de Bienestar Familiar es el "conjunto de actividades del Estado, encaminadas a satisfacer en forma permanente y obligatoria, las necesidades de la sociedad Colombiana, relacionadas con la integración y realización armónica de la familia, la protección preventiva y especial del niño, niña o adolescente garantizando sus derechos",</w:t>
      </w:r>
      <w:r w:rsidRPr="008B196C">
        <w:rPr>
          <w:rFonts w:ascii="Verdana" w:hAnsi="Verdana"/>
          <w:sz w:val="22"/>
          <w:szCs w:val="22"/>
          <w:vertAlign w:val="subscript"/>
        </w:rPr>
        <w:t>[2]</w:t>
      </w:r>
      <w:r w:rsidRPr="008B196C">
        <w:rPr>
          <w:rFonts w:ascii="Verdana" w:hAnsi="Verdana"/>
          <w:sz w:val="22"/>
          <w:szCs w:val="22"/>
        </w:rPr>
        <w:t> el cual se presta por medio del Sistema Nacional de Bienestar Familiar conformado por el conjunto de organismos, instituciones, agencias o entidades públicas o privadas que total o parcialmente atienden la prestación del servicio.</w:t>
      </w:r>
      <w:r w:rsidRPr="008B196C">
        <w:rPr>
          <w:rFonts w:ascii="Verdana" w:hAnsi="Verdana"/>
          <w:sz w:val="22"/>
          <w:szCs w:val="22"/>
          <w:vertAlign w:val="subscript"/>
        </w:rPr>
        <w:t>[3]</w:t>
      </w:r>
    </w:p>
    <w:p w14:paraId="0FF96A8C" w14:textId="19F526F1" w:rsidR="000F3413" w:rsidRPr="008B196C" w:rsidRDefault="000F3413" w:rsidP="008B196C">
      <w:pPr>
        <w:jc w:val="both"/>
        <w:rPr>
          <w:rFonts w:ascii="Verdana" w:hAnsi="Verdana"/>
          <w:sz w:val="22"/>
          <w:szCs w:val="22"/>
        </w:rPr>
      </w:pPr>
      <w:r w:rsidRPr="008B196C">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8B196C">
        <w:rPr>
          <w:rFonts w:ascii="Verdana" w:hAnsi="Verdana"/>
          <w:sz w:val="22"/>
          <w:szCs w:val="22"/>
        </w:rPr>
        <w:t>los mismos</w:t>
      </w:r>
      <w:proofErr w:type="gramEnd"/>
      <w:r w:rsidRPr="008B196C">
        <w:rPr>
          <w:rFonts w:ascii="Verdana" w:hAnsi="Verdana"/>
          <w:sz w:val="22"/>
          <w:szCs w:val="22"/>
        </w:rPr>
        <w:t xml:space="preserve"> en los ámbitos nacional, departamental, distrital y municipal.</w:t>
      </w:r>
    </w:p>
    <w:p w14:paraId="6E7935CD" w14:textId="4F1C33A8" w:rsidR="000F3413" w:rsidRPr="008B196C" w:rsidRDefault="000F3413" w:rsidP="008B196C">
      <w:pPr>
        <w:jc w:val="both"/>
        <w:rPr>
          <w:rFonts w:ascii="Verdana" w:hAnsi="Verdana"/>
          <w:sz w:val="22"/>
          <w:szCs w:val="22"/>
        </w:rPr>
      </w:pPr>
      <w:r w:rsidRPr="008B196C">
        <w:rPr>
          <w:rFonts w:ascii="Verdana" w:hAnsi="Verdana"/>
          <w:sz w:val="22"/>
          <w:szCs w:val="22"/>
        </w:rPr>
        <w:t>El Decreto 936 de 2013</w:t>
      </w:r>
      <w:r w:rsidRPr="008B196C">
        <w:rPr>
          <w:rFonts w:ascii="Verdana" w:hAnsi="Verdana"/>
          <w:sz w:val="22"/>
          <w:szCs w:val="22"/>
          <w:vertAlign w:val="subscript"/>
        </w:rPr>
        <w:t>[4]</w:t>
      </w:r>
      <w:r w:rsidRPr="008B196C">
        <w:rPr>
          <w:rFonts w:ascii="Verdana" w:hAnsi="Verdana"/>
          <w:sz w:val="22"/>
          <w:szCs w:val="22"/>
        </w:rPr>
        <w:t> establece los principios rectores del Sistema Nacional de Bienestar Familiar, indicando que:</w:t>
      </w:r>
    </w:p>
    <w:p w14:paraId="3B11FB79" w14:textId="6989D9C5" w:rsidR="000F3413" w:rsidRPr="008B196C" w:rsidRDefault="000F3413" w:rsidP="008B196C">
      <w:pPr>
        <w:jc w:val="both"/>
        <w:rPr>
          <w:rFonts w:ascii="Verdana" w:hAnsi="Verdana"/>
          <w:sz w:val="22"/>
          <w:szCs w:val="22"/>
        </w:rPr>
      </w:pPr>
      <w:r w:rsidRPr="008B196C">
        <w:rPr>
          <w:rFonts w:ascii="Verdana" w:hAnsi="Verdana"/>
          <w:i/>
          <w:iCs/>
          <w:sz w:val="22"/>
          <w:szCs w:val="22"/>
        </w:rPr>
        <w:t>“El Sistema Nacional de Bienestar Familiar está regido por las normas constitucionales de garantía de los derechos de niños, niñas</w:t>
      </w:r>
      <w:r w:rsidRPr="008B196C">
        <w:rPr>
          <w:rFonts w:ascii="Verdana" w:hAnsi="Verdana"/>
          <w:sz w:val="22"/>
          <w:szCs w:val="22"/>
        </w:rPr>
        <w:t> y </w:t>
      </w:r>
      <w:r w:rsidRPr="008B196C">
        <w:rPr>
          <w:rFonts w:ascii="Verdana" w:hAnsi="Verdana"/>
          <w:i/>
          <w:iCs/>
          <w:sz w:val="22"/>
          <w:szCs w:val="22"/>
        </w:rPr>
        <w:t>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1, 8,</w:t>
      </w:r>
      <w:r w:rsidRPr="008B196C">
        <w:rPr>
          <w:rFonts w:ascii="Verdana" w:hAnsi="Verdana"/>
          <w:sz w:val="22"/>
          <w:szCs w:val="22"/>
        </w:rPr>
        <w:t> </w:t>
      </w:r>
      <w:r w:rsidRPr="008B196C">
        <w:rPr>
          <w:rFonts w:ascii="Verdana" w:hAnsi="Verdana"/>
          <w:i/>
          <w:iCs/>
          <w:sz w:val="22"/>
          <w:szCs w:val="22"/>
        </w:rPr>
        <w:t>9, 10,</w:t>
      </w:r>
      <w:r w:rsidRPr="008B196C">
        <w:rPr>
          <w:rFonts w:ascii="Verdana" w:hAnsi="Verdana"/>
          <w:sz w:val="22"/>
          <w:szCs w:val="22"/>
        </w:rPr>
        <w:t> </w:t>
      </w:r>
      <w:r w:rsidRPr="008B196C">
        <w:rPr>
          <w:rFonts w:ascii="Verdana" w:hAnsi="Verdana"/>
          <w:i/>
          <w:iCs/>
          <w:sz w:val="22"/>
          <w:szCs w:val="22"/>
        </w:rPr>
        <w:t>11 y 12 de la Ley 1098 de 2006 y por los principios rectores de las políticas públicas de infancia, adolescencia y familia previstos en el artículo 203 de la misma ley".</w:t>
      </w:r>
    </w:p>
    <w:p w14:paraId="3BE9307E" w14:textId="77777777" w:rsidR="000F3413" w:rsidRPr="008B196C" w:rsidRDefault="000F3413" w:rsidP="008B196C">
      <w:pPr>
        <w:jc w:val="both"/>
        <w:rPr>
          <w:rFonts w:ascii="Verdana" w:hAnsi="Verdana"/>
          <w:sz w:val="22"/>
          <w:szCs w:val="22"/>
        </w:rPr>
      </w:pPr>
      <w:r w:rsidRPr="008B196C">
        <w:rPr>
          <w:rFonts w:ascii="Verdana" w:hAnsi="Verdana"/>
          <w:sz w:val="22"/>
          <w:szCs w:val="22"/>
        </w:rPr>
        <w:lastRenderedPageBreak/>
        <w:t>En el marco de la necesaria articulación y coordinación, el mismo Decreto dispone los objetivos del Sistema Nacional de Bienestar Familiar así:</w:t>
      </w:r>
    </w:p>
    <w:p w14:paraId="7BF61BF3" w14:textId="77777777" w:rsidR="000F3413" w:rsidRPr="008B196C" w:rsidRDefault="000F3413" w:rsidP="008B196C">
      <w:pPr>
        <w:jc w:val="both"/>
        <w:rPr>
          <w:rFonts w:ascii="Verdana" w:hAnsi="Verdana"/>
          <w:sz w:val="22"/>
          <w:szCs w:val="22"/>
        </w:rPr>
      </w:pPr>
      <w:r w:rsidRPr="008B196C">
        <w:rPr>
          <w:rFonts w:ascii="Verdana" w:hAnsi="Verdana"/>
          <w:sz w:val="22"/>
          <w:szCs w:val="22"/>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2B9B32BD" w14:textId="77777777" w:rsidR="000F3413" w:rsidRPr="008B196C" w:rsidRDefault="000F3413" w:rsidP="008B196C">
      <w:pPr>
        <w:jc w:val="both"/>
        <w:rPr>
          <w:rFonts w:ascii="Verdana" w:hAnsi="Verdana"/>
          <w:sz w:val="22"/>
          <w:szCs w:val="22"/>
        </w:rPr>
      </w:pPr>
      <w:r w:rsidRPr="008B196C">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7BF64111" w14:textId="77777777" w:rsidR="000F3413" w:rsidRPr="008B196C" w:rsidRDefault="000F3413" w:rsidP="008B196C">
      <w:pPr>
        <w:jc w:val="both"/>
        <w:rPr>
          <w:rFonts w:ascii="Verdana" w:hAnsi="Verdana"/>
          <w:sz w:val="22"/>
          <w:szCs w:val="22"/>
        </w:rPr>
      </w:pPr>
      <w:r w:rsidRPr="008B196C">
        <w:rPr>
          <w:rFonts w:ascii="Verdana" w:hAnsi="Verdana"/>
          <w:sz w:val="22"/>
          <w:szCs w:val="22"/>
        </w:rPr>
        <w:t>· Lograr que la primera infancia, la infancia y adolescencia y el fortalecimiento familiar sean una prioridad social, política, técnica y financiera en el ámbito nacional y territorial.</w:t>
      </w:r>
    </w:p>
    <w:p w14:paraId="312B2329" w14:textId="77777777" w:rsidR="000F3413" w:rsidRPr="008B196C" w:rsidRDefault="000F3413" w:rsidP="008B196C">
      <w:pPr>
        <w:jc w:val="both"/>
        <w:rPr>
          <w:rFonts w:ascii="Verdana" w:hAnsi="Verdana"/>
          <w:sz w:val="22"/>
          <w:szCs w:val="22"/>
        </w:rPr>
      </w:pPr>
      <w:r w:rsidRPr="008B196C">
        <w:rPr>
          <w:rFonts w:ascii="Verdana" w:hAnsi="Verdana"/>
          <w:sz w:val="22"/>
          <w:szCs w:val="22"/>
        </w:rPr>
        <w:t>· Mejorar el ejercicio de la participación y movilización social en torno a la protección integral de la primera infancia, la infancia, la adolescencia y el fortalecimiento familiar en los niveles nacional y territorial.</w:t>
      </w:r>
    </w:p>
    <w:p w14:paraId="5EF0AAA5" w14:textId="77777777" w:rsidR="000F3413" w:rsidRPr="008B196C" w:rsidRDefault="000F3413" w:rsidP="008B196C">
      <w:pPr>
        <w:jc w:val="both"/>
        <w:rPr>
          <w:rFonts w:ascii="Verdana" w:hAnsi="Verdana"/>
          <w:sz w:val="22"/>
          <w:szCs w:val="22"/>
        </w:rPr>
      </w:pPr>
      <w:r w:rsidRPr="008B196C">
        <w:rPr>
          <w:rFonts w:ascii="Verdana" w:hAnsi="Verdana"/>
          <w:sz w:val="22"/>
          <w:szCs w:val="22"/>
        </w:rPr>
        <w:t>· Evaluar y hacer seguimiento del estado de realización de derechos de los niños, niñas y adolescentes.</w:t>
      </w:r>
    </w:p>
    <w:p w14:paraId="51CF521C" w14:textId="4BD1FB02" w:rsidR="000F3413" w:rsidRPr="008B196C" w:rsidRDefault="000F3413" w:rsidP="008B196C">
      <w:pPr>
        <w:jc w:val="both"/>
        <w:rPr>
          <w:rFonts w:ascii="Verdana" w:hAnsi="Verdana"/>
          <w:sz w:val="22"/>
          <w:szCs w:val="22"/>
        </w:rPr>
      </w:pPr>
      <w:r w:rsidRPr="008B196C">
        <w:rPr>
          <w:rFonts w:ascii="Verdana" w:hAnsi="Verdana"/>
          <w:sz w:val="22"/>
          <w:szCs w:val="22"/>
        </w:rPr>
        <w:t>En relación con lo anterior se debe recordar que mediante el Decreto 2388 de 1979</w:t>
      </w:r>
      <w:r w:rsidRPr="008B196C">
        <w:rPr>
          <w:rFonts w:ascii="Verdana" w:hAnsi="Verdana"/>
          <w:sz w:val="22"/>
          <w:szCs w:val="22"/>
          <w:vertAlign w:val="subscript"/>
        </w:rPr>
        <w:t>[5]</w:t>
      </w:r>
      <w:r w:rsidRPr="008B196C">
        <w:rPr>
          <w:rFonts w:ascii="Verdana" w:hAnsi="Verdana"/>
          <w:sz w:val="22"/>
          <w:szCs w:val="22"/>
        </w:rPr>
        <w:t> se reglamentaron las Leyes 75 de 1968, 27 de 1974 y 7o. de 1979, y se dispuso entre otras cosas que:</w:t>
      </w:r>
    </w:p>
    <w:p w14:paraId="198DD1AB" w14:textId="27BEF026"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w:t>
      </w:r>
      <w:r w:rsidRPr="008B196C">
        <w:rPr>
          <w:rFonts w:ascii="Verdana" w:hAnsi="Verdana"/>
          <w:i/>
          <w:iCs/>
          <w:sz w:val="22"/>
          <w:szCs w:val="22"/>
        </w:rPr>
        <w:t>6</w:t>
      </w:r>
      <w:r w:rsidRPr="008B196C">
        <w:rPr>
          <w:rFonts w:ascii="Verdana" w:hAnsi="Verdana"/>
          <w:b/>
          <w:bCs/>
          <w:i/>
          <w:iCs/>
          <w:sz w:val="22"/>
          <w:szCs w:val="22"/>
        </w:rPr>
        <w:t>.</w:t>
      </w:r>
      <w:r w:rsidRPr="008B196C">
        <w:rPr>
          <w:rFonts w:ascii="Verdana" w:hAnsi="Verdana"/>
          <w:i/>
          <w:iCs/>
          <w:sz w:val="22"/>
          <w:szCs w:val="22"/>
        </w:rPr>
        <w:t> Integran el Sistema Nacional de Bienestar Familiar;</w:t>
      </w:r>
    </w:p>
    <w:p w14:paraId="70B14A43"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a) El instituto Colombiano de Bienestar Familiar (ICBF) sus regionales o agencias en los Departamentos, en el Distrito Especial de Bogotá, en las Intendencias, Comisarías y en los Municipios</w:t>
      </w:r>
      <w:r w:rsidRPr="008B196C">
        <w:rPr>
          <w:rFonts w:ascii="Verdana" w:hAnsi="Verdana"/>
          <w:sz w:val="22"/>
          <w:szCs w:val="22"/>
        </w:rPr>
        <w:t>;</w:t>
      </w:r>
    </w:p>
    <w:p w14:paraId="5C7ACE92"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w:t>
      </w:r>
    </w:p>
    <w:p w14:paraId="6E5395F9" w14:textId="26693D57"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w:t>
      </w:r>
      <w:r w:rsidRPr="008B196C">
        <w:rPr>
          <w:rFonts w:ascii="Verdana" w:hAnsi="Verdana"/>
          <w:i/>
          <w:iCs/>
          <w:sz w:val="22"/>
          <w:szCs w:val="22"/>
        </w:rPr>
        <w:t xml:space="preserve">8. Hacen parte también del Sistema Nacional de Bienestar Familiar las entidades públicas o privadas, de carácter nacional, distrital, departamental, </w:t>
      </w:r>
      <w:proofErr w:type="spellStart"/>
      <w:r w:rsidRPr="008B196C">
        <w:rPr>
          <w:rFonts w:ascii="Verdana" w:hAnsi="Verdana"/>
          <w:i/>
          <w:iCs/>
          <w:sz w:val="22"/>
          <w:szCs w:val="22"/>
        </w:rPr>
        <w:t>comisarial</w:t>
      </w:r>
      <w:proofErr w:type="spellEnd"/>
      <w:r w:rsidRPr="008B196C">
        <w:rPr>
          <w:rFonts w:ascii="Verdana" w:hAnsi="Verdana"/>
          <w:i/>
          <w:iCs/>
          <w:sz w:val="22"/>
          <w:szCs w:val="22"/>
        </w:rPr>
        <w:t xml:space="preserve">, </w:t>
      </w:r>
      <w:proofErr w:type="spellStart"/>
      <w:r w:rsidRPr="008B196C">
        <w:rPr>
          <w:rFonts w:ascii="Verdana" w:hAnsi="Verdana"/>
          <w:i/>
          <w:iCs/>
          <w:sz w:val="22"/>
          <w:szCs w:val="22"/>
        </w:rPr>
        <w:t>intendencial</w:t>
      </w:r>
      <w:proofErr w:type="spellEnd"/>
      <w:r w:rsidRPr="008B196C">
        <w:rPr>
          <w:rFonts w:ascii="Verdana" w:hAnsi="Verdana"/>
          <w:i/>
          <w:iCs/>
          <w:sz w:val="22"/>
          <w:szCs w:val="22"/>
        </w:rPr>
        <w:t xml:space="preserve"> o municipal, que habitualmente realicen actividades relacionadas con la protección preventiva y especial del menor, la garantía de sus derechos y la realización e integración armónica de la familia.</w:t>
      </w:r>
    </w:p>
    <w:p w14:paraId="17AD509E" w14:textId="6C9513AA"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w:t>
      </w:r>
      <w:r w:rsidRPr="008B196C">
        <w:rPr>
          <w:rFonts w:ascii="Verdana" w:hAnsi="Verdana"/>
          <w:i/>
          <w:iCs/>
          <w:sz w:val="22"/>
          <w:szCs w:val="22"/>
        </w:rPr>
        <w:t xml:space="preserve">12. Las actividades que realicen las entidades mencionadas en los artículos </w:t>
      </w:r>
      <w:proofErr w:type="gramStart"/>
      <w:r w:rsidRPr="008B196C">
        <w:rPr>
          <w:rFonts w:ascii="Verdana" w:hAnsi="Verdana"/>
          <w:i/>
          <w:iCs/>
          <w:sz w:val="22"/>
          <w:szCs w:val="22"/>
        </w:rPr>
        <w:t>anteriores,</w:t>
      </w:r>
      <w:proofErr w:type="gramEnd"/>
      <w:r w:rsidRPr="008B196C">
        <w:rPr>
          <w:rFonts w:ascii="Verdana" w:hAnsi="Verdana"/>
          <w:i/>
          <w:iCs/>
          <w:sz w:val="22"/>
          <w:szCs w:val="22"/>
        </w:rPr>
        <w:t xml:space="preserve"> deberán cumplirse con estricta sujeción a las normas del servicio y a los reglamentos dictados por el ICBF.</w:t>
      </w:r>
    </w:p>
    <w:p w14:paraId="6EFA8B3F" w14:textId="511A8C52"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w:t>
      </w:r>
      <w:r w:rsidRPr="008B196C">
        <w:rPr>
          <w:rFonts w:ascii="Verdana" w:hAnsi="Verdana"/>
          <w:i/>
          <w:iCs/>
          <w:sz w:val="22"/>
          <w:szCs w:val="22"/>
        </w:rPr>
        <w:t xml:space="preserve">20. De conformidad con lo previsto en la Ley 7 de 1979 y de modo especial en los artículos 12, 14, 15, 19, 20 y 21, la dirección del Sistema </w:t>
      </w:r>
      <w:r w:rsidRPr="008B196C">
        <w:rPr>
          <w:rFonts w:ascii="Verdana" w:hAnsi="Verdana"/>
          <w:i/>
          <w:iCs/>
          <w:sz w:val="22"/>
          <w:szCs w:val="22"/>
        </w:rPr>
        <w:lastRenderedPageBreak/>
        <w:t>Nacional de Bienestar Familiar está a cargo del ICBF. En ejercicio de ella le corresponde:</w:t>
      </w:r>
    </w:p>
    <w:p w14:paraId="1CBCE587"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w:t>
      </w:r>
    </w:p>
    <w:p w14:paraId="15BE266A"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9. Supervisar y controlar el funcionamiento de las entidades que constituyen el sistema y prestarle asesoría a las mismas.</w:t>
      </w:r>
    </w:p>
    <w:p w14:paraId="3AD47717" w14:textId="733A7EDB"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w:t>
      </w:r>
      <w:r w:rsidRPr="008B196C">
        <w:rPr>
          <w:rFonts w:ascii="Verdana" w:hAnsi="Verdana"/>
          <w:i/>
          <w:iCs/>
          <w:sz w:val="22"/>
          <w:szCs w:val="22"/>
        </w:rPr>
        <w:t>27.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03E98B3F" w14:textId="77777777" w:rsidR="000F3413" w:rsidRPr="008B196C" w:rsidRDefault="000F3413" w:rsidP="008B196C">
      <w:pPr>
        <w:jc w:val="both"/>
        <w:rPr>
          <w:rFonts w:ascii="Verdana" w:hAnsi="Verdana"/>
          <w:sz w:val="22"/>
          <w:szCs w:val="22"/>
        </w:rPr>
      </w:pPr>
      <w:r w:rsidRPr="008B196C">
        <w:rPr>
          <w:rFonts w:ascii="Verdana" w:hAnsi="Verdana"/>
          <w:b/>
          <w:bCs/>
          <w:sz w:val="22"/>
          <w:szCs w:val="22"/>
          <w:u w:val="single"/>
        </w:rPr>
        <w:t>(2.3) Normatividad aplicable para el reconocimiento u otorgamiento de las personerías jurídicas por el ICBF</w:t>
      </w:r>
    </w:p>
    <w:p w14:paraId="318F93DA" w14:textId="29FFC6FD" w:rsidR="000F3413" w:rsidRPr="008B196C" w:rsidRDefault="000F3413" w:rsidP="008B196C">
      <w:pPr>
        <w:jc w:val="both"/>
        <w:rPr>
          <w:rFonts w:ascii="Verdana" w:hAnsi="Verdana"/>
          <w:sz w:val="22"/>
          <w:szCs w:val="22"/>
        </w:rPr>
      </w:pPr>
      <w:r w:rsidRPr="008B196C">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6C27F33A" w14:textId="3F014756" w:rsidR="000F3413" w:rsidRPr="008B196C" w:rsidRDefault="000F3413" w:rsidP="008B196C">
      <w:pPr>
        <w:jc w:val="both"/>
        <w:rPr>
          <w:rFonts w:ascii="Verdana" w:hAnsi="Verdana"/>
          <w:sz w:val="22"/>
          <w:szCs w:val="22"/>
        </w:rPr>
      </w:pPr>
      <w:r w:rsidRPr="008B196C">
        <w:rPr>
          <w:rFonts w:ascii="Verdana" w:hAnsi="Verdana"/>
          <w:sz w:val="22"/>
          <w:szCs w:val="22"/>
        </w:rPr>
        <w:t xml:space="preserve">La Constitución Política de Colombia de 1991 en su artículo 189 establece que corresponde al </w:t>
      </w:r>
      <w:proofErr w:type="gramStart"/>
      <w:r w:rsidRPr="008B196C">
        <w:rPr>
          <w:rFonts w:ascii="Verdana" w:hAnsi="Verdana"/>
          <w:sz w:val="22"/>
          <w:szCs w:val="22"/>
        </w:rPr>
        <w:t>Presidente</w:t>
      </w:r>
      <w:proofErr w:type="gramEnd"/>
      <w:r w:rsidRPr="008B196C">
        <w:rPr>
          <w:rFonts w:ascii="Verdana" w:hAnsi="Verdana"/>
          <w:sz w:val="22"/>
          <w:szCs w:val="22"/>
        </w:rPr>
        <w:t xml:space="preserve"> de la República como </w:t>
      </w:r>
      <w:proofErr w:type="gramStart"/>
      <w:r w:rsidRPr="008B196C">
        <w:rPr>
          <w:rFonts w:ascii="Verdana" w:hAnsi="Verdana"/>
          <w:sz w:val="22"/>
          <w:szCs w:val="22"/>
        </w:rPr>
        <w:t>Jefe</w:t>
      </w:r>
      <w:proofErr w:type="gramEnd"/>
      <w:r w:rsidRPr="008B196C">
        <w:rPr>
          <w:rFonts w:ascii="Verdana" w:hAnsi="Verdana"/>
          <w:sz w:val="22"/>
          <w:szCs w:val="22"/>
        </w:rPr>
        <w:t xml:space="preserve"> de Estado, </w:t>
      </w:r>
      <w:proofErr w:type="gramStart"/>
      <w:r w:rsidRPr="008B196C">
        <w:rPr>
          <w:rFonts w:ascii="Verdana" w:hAnsi="Verdana"/>
          <w:sz w:val="22"/>
          <w:szCs w:val="22"/>
        </w:rPr>
        <w:t>Jefe</w:t>
      </w:r>
      <w:proofErr w:type="gramEnd"/>
      <w:r w:rsidRPr="008B196C">
        <w:rPr>
          <w:rFonts w:ascii="Verdana" w:hAnsi="Verdana"/>
          <w:sz w:val="22"/>
          <w:szCs w:val="22"/>
        </w:rPr>
        <w:t xml:space="preserve"> del Gobierno y Suprema Autoridad Administrativa:</w:t>
      </w:r>
    </w:p>
    <w:p w14:paraId="53AADA86"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 26. Ejercer la inspección y vigilancia sobre instituciones de utilidad común para que sus rentas se conserven y sean debidamente aplicadas y para que en todo lo esencial se cumpla con la voluntad de los fundadores.</w:t>
      </w:r>
    </w:p>
    <w:p w14:paraId="5C8E3A98" w14:textId="3103E5BB" w:rsidR="000F3413" w:rsidRPr="008B196C" w:rsidRDefault="000F3413" w:rsidP="008B196C">
      <w:pPr>
        <w:jc w:val="both"/>
        <w:rPr>
          <w:rFonts w:ascii="Verdana" w:hAnsi="Verdana"/>
          <w:sz w:val="22"/>
          <w:szCs w:val="22"/>
        </w:rPr>
      </w:pPr>
      <w:r w:rsidRPr="008B196C">
        <w:rPr>
          <w:rFonts w:ascii="Verdana" w:hAnsi="Verdana"/>
          <w:sz w:val="22"/>
          <w:szCs w:val="22"/>
        </w:rPr>
        <w:t>El artículo 21 de la Ley 7</w:t>
      </w:r>
      <w:r w:rsidRPr="008B196C">
        <w:rPr>
          <w:rFonts w:ascii="Verdana" w:hAnsi="Verdana"/>
          <w:sz w:val="22"/>
          <w:szCs w:val="22"/>
          <w:vertAlign w:val="subscript"/>
        </w:rPr>
        <w:t>[6]</w:t>
      </w:r>
      <w:r w:rsidRPr="008B196C">
        <w:rPr>
          <w:rFonts w:ascii="Verdana" w:hAnsi="Verdana"/>
          <w:sz w:val="22"/>
          <w:szCs w:val="22"/>
        </w:rPr>
        <w:t> de 1979, al señalar las funciones asignadas al ICBF, incluyó:</w:t>
      </w:r>
    </w:p>
    <w:p w14:paraId="576AB2FB" w14:textId="77777777" w:rsidR="000F3413" w:rsidRPr="008B196C" w:rsidRDefault="000F3413" w:rsidP="008B196C">
      <w:pPr>
        <w:jc w:val="both"/>
        <w:rPr>
          <w:rFonts w:ascii="Verdana" w:hAnsi="Verdana"/>
          <w:sz w:val="22"/>
          <w:szCs w:val="22"/>
        </w:rPr>
      </w:pPr>
      <w:r w:rsidRPr="008B196C">
        <w:rPr>
          <w:rFonts w:ascii="Verdana" w:hAnsi="Verdana"/>
          <w:b/>
          <w:bCs/>
          <w:i/>
          <w:iCs/>
          <w:sz w:val="22"/>
          <w:szCs w:val="22"/>
        </w:rPr>
        <w:t>Artículo 21</w:t>
      </w:r>
      <w:r w:rsidRPr="008B196C">
        <w:rPr>
          <w:rFonts w:ascii="Verdana" w:hAnsi="Verdana"/>
          <w:i/>
          <w:iCs/>
          <w:sz w:val="22"/>
          <w:szCs w:val="22"/>
        </w:rPr>
        <w:t>. El Instituto Colombiano de Bienestar Familiar tendrá las siguientes funciones:</w:t>
      </w:r>
    </w:p>
    <w:p w14:paraId="33613840"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8. Otorgar, suspender y cancelar licencias funcionamiento para establecimientos públicos o privados de protección al menor y a la familia y</w:t>
      </w:r>
      <w:r w:rsidRPr="008B196C">
        <w:rPr>
          <w:rFonts w:ascii="Verdana" w:hAnsi="Verdana"/>
          <w:sz w:val="22"/>
          <w:szCs w:val="22"/>
        </w:rPr>
        <w:t> a </w:t>
      </w:r>
      <w:r w:rsidRPr="008B196C">
        <w:rPr>
          <w:rFonts w:ascii="Verdana" w:hAnsi="Verdana"/>
          <w:i/>
          <w:iCs/>
          <w:sz w:val="22"/>
          <w:szCs w:val="22"/>
        </w:rPr>
        <w:t>instituciones que desarrollen programas de adopción.</w:t>
      </w:r>
    </w:p>
    <w:p w14:paraId="33B7CCC3" w14:textId="77777777" w:rsidR="000F3413" w:rsidRPr="008B196C" w:rsidRDefault="000F3413" w:rsidP="008B196C">
      <w:pPr>
        <w:jc w:val="both"/>
        <w:rPr>
          <w:rFonts w:ascii="Verdana" w:hAnsi="Verdana"/>
          <w:sz w:val="22"/>
          <w:szCs w:val="22"/>
        </w:rPr>
      </w:pPr>
      <w:r w:rsidRPr="008B196C">
        <w:rPr>
          <w:rFonts w:ascii="Verdana" w:hAnsi="Verdana"/>
          <w:i/>
          <w:iCs/>
          <w:sz w:val="22"/>
          <w:szCs w:val="22"/>
        </w:rPr>
        <w:t>Para que pueda otorgarse Personería jurídica a las instituciones que tienen por objeto la protección del menor de edad se requiera concepto previo y favorable del Instituto Colombiano de Bienestar Familiar.</w:t>
      </w:r>
    </w:p>
    <w:p w14:paraId="2D3722B1" w14:textId="516C9330" w:rsidR="000F3413" w:rsidRPr="008B196C" w:rsidRDefault="000F3413" w:rsidP="008B196C">
      <w:pPr>
        <w:jc w:val="both"/>
        <w:rPr>
          <w:rFonts w:ascii="Verdana" w:hAnsi="Verdana"/>
          <w:sz w:val="22"/>
          <w:szCs w:val="22"/>
        </w:rPr>
      </w:pPr>
      <w:proofErr w:type="gramStart"/>
      <w:r w:rsidRPr="008B196C">
        <w:rPr>
          <w:rFonts w:ascii="Verdana" w:hAnsi="Verdana"/>
          <w:sz w:val="22"/>
          <w:szCs w:val="22"/>
        </w:rPr>
        <w:t>Igualmente</w:t>
      </w:r>
      <w:proofErr w:type="gramEnd"/>
      <w:r w:rsidRPr="008B196C">
        <w:rPr>
          <w:rFonts w:ascii="Verdana" w:hAnsi="Verdana"/>
          <w:sz w:val="22"/>
          <w:szCs w:val="22"/>
        </w:rPr>
        <w:t xml:space="preserve"> el Decreto 276</w:t>
      </w:r>
      <w:r w:rsidRPr="008B196C">
        <w:rPr>
          <w:rFonts w:ascii="Verdana" w:hAnsi="Verdana"/>
          <w:sz w:val="22"/>
          <w:szCs w:val="22"/>
          <w:vertAlign w:val="subscript"/>
        </w:rPr>
        <w:t>[7]</w:t>
      </w:r>
      <w:r w:rsidRPr="008B196C">
        <w:rPr>
          <w:rFonts w:ascii="Verdana" w:hAnsi="Verdana"/>
          <w:sz w:val="22"/>
          <w:szCs w:val="22"/>
        </w:rPr>
        <w:t> de 1988, estableció en su artículo 2 como una de las funciones del ICBF (...) </w:t>
      </w:r>
      <w:r w:rsidRPr="008B196C">
        <w:rPr>
          <w:rFonts w:ascii="Verdana" w:hAnsi="Verdana"/>
          <w:i/>
          <w:iCs/>
          <w:sz w:val="22"/>
          <w:szCs w:val="22"/>
        </w:rPr>
        <w:t xml:space="preserve">n) Otorgar, conceder y suspender personerías </w:t>
      </w:r>
      <w:r w:rsidRPr="008B196C">
        <w:rPr>
          <w:rFonts w:ascii="Verdana" w:hAnsi="Verdana"/>
          <w:i/>
          <w:iCs/>
          <w:sz w:val="22"/>
          <w:szCs w:val="22"/>
        </w:rPr>
        <w:lastRenderedPageBreak/>
        <w:t>jurídicas y licencias de funcionamiento a las instituciones de utilidad común, que presten el servicio de Bienestar Familiar.</w:t>
      </w:r>
    </w:p>
    <w:p w14:paraId="373AAF93" w14:textId="7B4C6860" w:rsidR="000F3413" w:rsidRPr="008B196C" w:rsidRDefault="000F3413" w:rsidP="008B196C">
      <w:pPr>
        <w:jc w:val="both"/>
        <w:rPr>
          <w:rFonts w:ascii="Verdana" w:hAnsi="Verdana"/>
          <w:sz w:val="22"/>
          <w:szCs w:val="22"/>
        </w:rPr>
      </w:pPr>
      <w:r w:rsidRPr="008B196C">
        <w:rPr>
          <w:rFonts w:ascii="Verdana" w:hAnsi="Verdana"/>
          <w:sz w:val="22"/>
          <w:szCs w:val="22"/>
        </w:rPr>
        <w:t>En igual sentido el Decreto 2388 de 1979,</w:t>
      </w:r>
      <w:r w:rsidRPr="008B196C">
        <w:rPr>
          <w:rFonts w:ascii="Verdana" w:hAnsi="Verdana"/>
          <w:sz w:val="22"/>
          <w:szCs w:val="22"/>
          <w:vertAlign w:val="subscript"/>
        </w:rPr>
        <w:t>[8]</w:t>
      </w:r>
      <w:r w:rsidRPr="008B196C">
        <w:rPr>
          <w:rFonts w:ascii="Verdana" w:hAnsi="Verdana"/>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616E7AFC" w14:textId="7550756A" w:rsidR="000F3413" w:rsidRPr="008B196C" w:rsidRDefault="000F3413" w:rsidP="008B196C">
      <w:pPr>
        <w:jc w:val="both"/>
        <w:rPr>
          <w:rFonts w:ascii="Verdana" w:hAnsi="Verdana"/>
          <w:sz w:val="22"/>
          <w:szCs w:val="22"/>
        </w:rPr>
      </w:pPr>
      <w:r w:rsidRPr="008B196C">
        <w:rPr>
          <w:rFonts w:ascii="Verdana" w:hAnsi="Verdana"/>
          <w:sz w:val="22"/>
          <w:szCs w:val="22"/>
        </w:rPr>
        <w:t>Con base en lo anterior mediante Resolución No. 3899 del 8 de septiembre de 2010, modificada por la Resolución No. 3435 de 2016,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6670F48E" w14:textId="0BEA4B44" w:rsidR="000F3413" w:rsidRPr="008B196C" w:rsidRDefault="000F3413" w:rsidP="008B196C">
      <w:pPr>
        <w:jc w:val="both"/>
        <w:rPr>
          <w:rFonts w:ascii="Verdana" w:hAnsi="Verdana"/>
          <w:sz w:val="22"/>
          <w:szCs w:val="22"/>
        </w:rPr>
      </w:pPr>
      <w:r w:rsidRPr="008B196C">
        <w:rPr>
          <w:rFonts w:ascii="Verdana" w:hAnsi="Verdana"/>
          <w:sz w:val="22"/>
          <w:szCs w:val="22"/>
        </w:rPr>
        <w:t>En virtud de lo establecido en el artículo 2 de la citada Resolución, sus disposiciones se aplican a todas: </w:t>
      </w:r>
      <w:r w:rsidRPr="008B196C">
        <w:rPr>
          <w:rFonts w:ascii="Verdana" w:hAnsi="Verdana"/>
          <w:i/>
          <w:iCs/>
          <w:sz w:val="22"/>
          <w:szCs w:val="22"/>
        </w:rPr>
        <w:t>"Las</w:t>
      </w:r>
      <w:r w:rsidRPr="008B196C">
        <w:rPr>
          <w:rFonts w:ascii="Verdana" w:hAnsi="Verdana"/>
          <w:sz w:val="22"/>
          <w:szCs w:val="22"/>
        </w:rPr>
        <w:t> </w:t>
      </w:r>
      <w:r w:rsidRPr="008B196C">
        <w:rPr>
          <w:rFonts w:ascii="Verdana" w:hAnsi="Verdana"/>
          <w:i/>
          <w:iCs/>
          <w:sz w:val="22"/>
          <w:szCs w:val="22"/>
        </w:rPr>
        <w:t>personas jurídicas nacionales o internacionales que presten servicios de protección integral dirigidos a niños, niñas ya adolescentes y</w:t>
      </w:r>
      <w:r w:rsidRPr="008B196C">
        <w:rPr>
          <w:rFonts w:ascii="Verdana" w:hAnsi="Verdana"/>
          <w:sz w:val="22"/>
          <w:szCs w:val="22"/>
        </w:rPr>
        <w:t> a </w:t>
      </w:r>
      <w:r w:rsidRPr="008B196C">
        <w:rPr>
          <w:rFonts w:ascii="Verdana" w:hAnsi="Verdana"/>
          <w:i/>
          <w:iCs/>
          <w:sz w:val="22"/>
          <w:szCs w:val="22"/>
        </w:rPr>
        <w:t>sus familias en el territorio nacional, bien sea que cuenten con personería jurídica expedida por el ICBF o por autoridades diferentes, sin perjuicio de los regímenes especiales o excepcionales que rijan a poblaciones especiales tales como afro-colombianas</w:t>
      </w:r>
      <w:r w:rsidRPr="008B196C">
        <w:rPr>
          <w:rFonts w:ascii="Verdana" w:hAnsi="Verdana"/>
          <w:sz w:val="22"/>
          <w:szCs w:val="22"/>
        </w:rPr>
        <w:t>, </w:t>
      </w:r>
      <w:r w:rsidRPr="008B196C">
        <w:rPr>
          <w:rFonts w:ascii="Verdana" w:hAnsi="Verdana"/>
          <w:i/>
          <w:iCs/>
          <w:sz w:val="22"/>
          <w:szCs w:val="22"/>
        </w:rPr>
        <w:t>indígenas, raizales y ROM".</w:t>
      </w:r>
    </w:p>
    <w:p w14:paraId="1662D1B7" w14:textId="77777777" w:rsidR="000F3413" w:rsidRPr="008B196C" w:rsidRDefault="000F3413" w:rsidP="008B196C">
      <w:pPr>
        <w:jc w:val="both"/>
        <w:rPr>
          <w:rFonts w:ascii="Verdana" w:hAnsi="Verdana"/>
          <w:sz w:val="22"/>
          <w:szCs w:val="22"/>
        </w:rPr>
      </w:pPr>
      <w:r w:rsidRPr="008B196C">
        <w:rPr>
          <w:rFonts w:ascii="Verdana" w:hAnsi="Verdana"/>
          <w:b/>
          <w:bCs/>
          <w:sz w:val="22"/>
          <w:szCs w:val="22"/>
          <w:u w:val="single"/>
        </w:rPr>
        <w:t>(2.4) Reconocimiento y otorgamiento de la personería jurídica</w:t>
      </w:r>
    </w:p>
    <w:p w14:paraId="6814230F" w14:textId="4F745386" w:rsidR="000F3413" w:rsidRPr="008B196C" w:rsidRDefault="000F3413" w:rsidP="008B196C">
      <w:pPr>
        <w:jc w:val="both"/>
        <w:rPr>
          <w:rFonts w:ascii="Verdana" w:hAnsi="Verdana"/>
          <w:sz w:val="22"/>
          <w:szCs w:val="22"/>
        </w:rPr>
      </w:pPr>
      <w:r w:rsidRPr="008B196C">
        <w:rPr>
          <w:rFonts w:ascii="Verdana" w:hAnsi="Verdana"/>
          <w:sz w:val="22"/>
          <w:szCs w:val="22"/>
        </w:rPr>
        <w:t>El artículo 7 y 8 de la Resolución 3899 de 2010 modificado por la Resolución No. 3425 de 2016, establecen los requisitos y trámite que se deben tener en cuenta por parte de los interesados para el obtener el reconocimiento u otorgamiento de personería jurídica por el ICBF y pertenecer al Sistema Nacional de Bienestar Familiar.</w:t>
      </w:r>
    </w:p>
    <w:p w14:paraId="6791DE86" w14:textId="77777777" w:rsidR="000F3413" w:rsidRPr="008B196C" w:rsidRDefault="000F3413" w:rsidP="008B196C">
      <w:pPr>
        <w:jc w:val="both"/>
        <w:rPr>
          <w:rFonts w:ascii="Verdana" w:hAnsi="Verdana"/>
          <w:sz w:val="22"/>
          <w:szCs w:val="22"/>
        </w:rPr>
      </w:pPr>
      <w:r w:rsidRPr="008B196C">
        <w:rPr>
          <w:rFonts w:ascii="Verdana" w:hAnsi="Verdana"/>
          <w:sz w:val="22"/>
          <w:szCs w:val="22"/>
        </w:rPr>
        <w:t>En razón a lo anterior es importante precisar la diferencia entre el reconocimiento y el otorgamiento de la personería jurídica indicando que:</w:t>
      </w:r>
    </w:p>
    <w:p w14:paraId="62129FFB" w14:textId="77777777" w:rsidR="000F3413" w:rsidRPr="008B196C" w:rsidRDefault="000F3413" w:rsidP="008B196C">
      <w:pPr>
        <w:jc w:val="both"/>
        <w:rPr>
          <w:rFonts w:ascii="Verdana" w:hAnsi="Verdana"/>
          <w:sz w:val="22"/>
          <w:szCs w:val="22"/>
        </w:rPr>
      </w:pPr>
      <w:r w:rsidRPr="008B196C">
        <w:rPr>
          <w:rFonts w:ascii="Verdana" w:hAnsi="Verdana"/>
          <w:b/>
          <w:bCs/>
          <w:sz w:val="22"/>
          <w:szCs w:val="22"/>
        </w:rPr>
        <w:t>El Otorgamiento de Personería jurídica</w:t>
      </w:r>
      <w:r w:rsidRPr="008B196C">
        <w:rPr>
          <w:rFonts w:ascii="Verdana" w:hAnsi="Verdana"/>
          <w:sz w:val="22"/>
          <w:szCs w:val="22"/>
        </w:rPr>
        <w:t>, es el consentimiento legal que efectúa el ICBF, mediante acto administrativo de la existencia de una persona ficticia, capaz de ejercer derechos y contraer obligaciones civiles en sus relaciones jurídicas dentro del ámbito del Sistema Nacional de Bienestar Familiar.</w:t>
      </w:r>
    </w:p>
    <w:p w14:paraId="7F905033" w14:textId="77777777" w:rsidR="000F3413" w:rsidRPr="008B196C" w:rsidRDefault="000F3413" w:rsidP="008B196C">
      <w:pPr>
        <w:jc w:val="both"/>
        <w:rPr>
          <w:rFonts w:ascii="Verdana" w:hAnsi="Verdana"/>
          <w:sz w:val="22"/>
          <w:szCs w:val="22"/>
        </w:rPr>
      </w:pPr>
      <w:r w:rsidRPr="008B196C">
        <w:rPr>
          <w:rFonts w:ascii="Verdana" w:hAnsi="Verdana"/>
          <w:sz w:val="22"/>
          <w:szCs w:val="22"/>
        </w:rPr>
        <w:t xml:space="preserve">El Reconocimiento de Personería Jurídica, es el acto administrativo mediante el cual el ICBF le reconoce personería jurídica a una institución, cuando esta ha </w:t>
      </w:r>
      <w:r w:rsidRPr="008B196C">
        <w:rPr>
          <w:rFonts w:ascii="Verdana" w:hAnsi="Verdana"/>
          <w:sz w:val="22"/>
          <w:szCs w:val="22"/>
        </w:rPr>
        <w:lastRenderedPageBreak/>
        <w:t>sido otorgada inicialmente por otra autoridad o cuando se ha registrado inicialmente ante la Cámara de Comercio, por fuera del régimen especial de las instituciones del Sistema Nacional de Bienestar Familiar que prestan servicios de protección integral; quiere decir lo anterior que no se trata de que el ICBF otorgue una nueva personería jurídica sino que se reconozca la que ya se tiene.</w:t>
      </w:r>
    </w:p>
    <w:p w14:paraId="5E61A392" w14:textId="77777777" w:rsidR="000F3413" w:rsidRPr="008B196C" w:rsidRDefault="000F3413" w:rsidP="008B196C">
      <w:pPr>
        <w:jc w:val="both"/>
        <w:rPr>
          <w:rFonts w:ascii="Verdana" w:hAnsi="Verdana"/>
          <w:sz w:val="22"/>
          <w:szCs w:val="22"/>
        </w:rPr>
      </w:pPr>
      <w:r w:rsidRPr="008B196C">
        <w:rPr>
          <w:rFonts w:ascii="Verdana" w:hAnsi="Verdana"/>
          <w:b/>
          <w:bCs/>
          <w:sz w:val="22"/>
          <w:szCs w:val="22"/>
          <w:u w:val="single"/>
        </w:rPr>
        <w:t>(2.5) las preguntas en concreto</w:t>
      </w:r>
    </w:p>
    <w:p w14:paraId="62CCF95E" w14:textId="77777777" w:rsidR="000F3413" w:rsidRPr="008B196C" w:rsidRDefault="000F3413" w:rsidP="008B196C">
      <w:pPr>
        <w:jc w:val="both"/>
        <w:rPr>
          <w:rFonts w:ascii="Verdana" w:hAnsi="Verdana"/>
          <w:sz w:val="22"/>
          <w:szCs w:val="22"/>
        </w:rPr>
      </w:pPr>
      <w:r w:rsidRPr="008B196C">
        <w:rPr>
          <w:rFonts w:ascii="Verdana" w:hAnsi="Verdana"/>
          <w:b/>
          <w:bCs/>
          <w:i/>
          <w:iCs/>
          <w:sz w:val="22"/>
          <w:szCs w:val="22"/>
        </w:rPr>
        <w:t>¿Para acreditar la capacidad jurídica de dicha entidad, se hace necesario solicitar la personería jurídica otorgada por el ICBF?</w:t>
      </w:r>
    </w:p>
    <w:p w14:paraId="6C87897A" w14:textId="77777777" w:rsidR="000F3413" w:rsidRPr="008B196C" w:rsidRDefault="000F3413" w:rsidP="008B196C">
      <w:pPr>
        <w:jc w:val="both"/>
        <w:rPr>
          <w:rFonts w:ascii="Verdana" w:hAnsi="Verdana"/>
          <w:sz w:val="22"/>
          <w:szCs w:val="22"/>
        </w:rPr>
      </w:pPr>
      <w:r w:rsidRPr="008B196C">
        <w:rPr>
          <w:rFonts w:ascii="Verdana" w:hAnsi="Verdana"/>
          <w:sz w:val="22"/>
          <w:szCs w:val="22"/>
        </w:rPr>
        <w:t>Sea lo primero indicar que una cosa es la capacidad jurídica de la institución que se determina a través de sus estatutos y otra que para que dicha entidad pertenezca al Sistema Nacional de Bienestar Familiar y preste servicios de protección integral requiera de la correspondiente personería jurídica otorgada o reconocida por el ICBF.</w:t>
      </w:r>
    </w:p>
    <w:p w14:paraId="26B1F09A" w14:textId="77777777" w:rsidR="000F3413" w:rsidRPr="008B196C" w:rsidRDefault="000F3413" w:rsidP="008B196C">
      <w:pPr>
        <w:jc w:val="both"/>
        <w:rPr>
          <w:rFonts w:ascii="Verdana" w:hAnsi="Verdana"/>
          <w:sz w:val="22"/>
          <w:szCs w:val="22"/>
        </w:rPr>
      </w:pPr>
      <w:r w:rsidRPr="008B196C">
        <w:rPr>
          <w:rFonts w:ascii="Verdana" w:hAnsi="Verdana"/>
          <w:sz w:val="22"/>
          <w:szCs w:val="22"/>
        </w:rPr>
        <w:t>Quiere decir lo anterior que la capacidad jurídica no la determina la personería jurídica reconocida u otorgada por el ICBF, lo que la personería jurídica determina es la posibilidad de pertenecer al Sistema Nacional de Bienestar Familiar y en el evento de cumplir con todos los requisitos determinados para tal fin poder suscribir contratos de aporte.</w:t>
      </w:r>
    </w:p>
    <w:p w14:paraId="13681159" w14:textId="77777777" w:rsidR="000F3413" w:rsidRPr="008B196C" w:rsidRDefault="000F3413" w:rsidP="008B196C">
      <w:pPr>
        <w:jc w:val="both"/>
        <w:rPr>
          <w:rFonts w:ascii="Verdana" w:hAnsi="Verdana"/>
          <w:sz w:val="22"/>
          <w:szCs w:val="22"/>
        </w:rPr>
      </w:pPr>
      <w:r w:rsidRPr="008B196C">
        <w:rPr>
          <w:rFonts w:ascii="Verdana" w:hAnsi="Verdana"/>
          <w:b/>
          <w:bCs/>
          <w:i/>
          <w:iCs/>
          <w:sz w:val="22"/>
          <w:szCs w:val="22"/>
        </w:rPr>
        <w:t>¿La Oficina Asesora Jurídica expide personerías jurídicas para este tipo de entidades?</w:t>
      </w:r>
    </w:p>
    <w:p w14:paraId="1A6E4F29" w14:textId="77777777" w:rsidR="000F3413" w:rsidRPr="008B196C" w:rsidRDefault="000F3413" w:rsidP="008B196C">
      <w:pPr>
        <w:jc w:val="both"/>
        <w:rPr>
          <w:rFonts w:ascii="Verdana" w:hAnsi="Verdana"/>
          <w:sz w:val="22"/>
          <w:szCs w:val="22"/>
        </w:rPr>
      </w:pPr>
      <w:r w:rsidRPr="008B196C">
        <w:rPr>
          <w:rFonts w:ascii="Verdana" w:hAnsi="Verdana"/>
          <w:b/>
          <w:bCs/>
          <w:i/>
          <w:iCs/>
          <w:sz w:val="22"/>
          <w:szCs w:val="22"/>
        </w:rPr>
        <w:t>¿En caso de ser afirmativa la respuesta, que requisitos deben solicitarse?</w:t>
      </w:r>
    </w:p>
    <w:p w14:paraId="14DFAAD8" w14:textId="4C52758C" w:rsidR="000F3413" w:rsidRPr="008B196C" w:rsidRDefault="000F3413" w:rsidP="008B196C">
      <w:pPr>
        <w:jc w:val="both"/>
        <w:rPr>
          <w:rFonts w:ascii="Verdana" w:hAnsi="Verdana"/>
          <w:sz w:val="22"/>
          <w:szCs w:val="22"/>
        </w:rPr>
      </w:pPr>
      <w:r w:rsidRPr="008B196C">
        <w:rPr>
          <w:rFonts w:ascii="Verdana" w:hAnsi="Verdana"/>
          <w:sz w:val="22"/>
          <w:szCs w:val="22"/>
        </w:rPr>
        <w:t xml:space="preserve">Como se indicó anteriormente el trámite y requisitos para el otorgamiento o reconocimiento de la personería jurídica para las instituciones que quieran pertenecer al Sistema Nacional de Bienestar Familiar, se encuentra establecido en </w:t>
      </w:r>
      <w:proofErr w:type="gramStart"/>
      <w:r w:rsidRPr="008B196C">
        <w:rPr>
          <w:rFonts w:ascii="Verdana" w:hAnsi="Verdana"/>
          <w:sz w:val="22"/>
          <w:szCs w:val="22"/>
        </w:rPr>
        <w:t>los artículo</w:t>
      </w:r>
      <w:proofErr w:type="gramEnd"/>
      <w:r w:rsidRPr="008B196C">
        <w:rPr>
          <w:rFonts w:ascii="Verdana" w:hAnsi="Verdana"/>
          <w:sz w:val="22"/>
          <w:szCs w:val="22"/>
        </w:rPr>
        <w:t> 7 y 8 de la Resolución 3899 de 2010, modificada por la Resolución 3435 de 2016.</w:t>
      </w:r>
    </w:p>
    <w:p w14:paraId="63A9D6DD" w14:textId="4AAFE1CB" w:rsidR="000F3413" w:rsidRPr="008B196C" w:rsidRDefault="000F3413" w:rsidP="008B196C">
      <w:pPr>
        <w:jc w:val="both"/>
        <w:rPr>
          <w:rFonts w:ascii="Verdana" w:hAnsi="Verdana"/>
          <w:sz w:val="22"/>
          <w:szCs w:val="22"/>
        </w:rPr>
      </w:pPr>
      <w:r w:rsidRPr="008B196C">
        <w:rPr>
          <w:rFonts w:ascii="Verdana" w:hAnsi="Verdana"/>
          <w:sz w:val="22"/>
          <w:szCs w:val="22"/>
        </w:rPr>
        <w:t xml:space="preserve">El presente </w:t>
      </w:r>
      <w:proofErr w:type="gramStart"/>
      <w:r w:rsidRPr="008B196C">
        <w:rPr>
          <w:rFonts w:ascii="Verdana" w:hAnsi="Verdana"/>
          <w:sz w:val="22"/>
          <w:szCs w:val="22"/>
        </w:rPr>
        <w:t>concepto</w:t>
      </w:r>
      <w:r w:rsidRPr="008B196C">
        <w:rPr>
          <w:rFonts w:ascii="Verdana" w:hAnsi="Verdana"/>
          <w:sz w:val="22"/>
          <w:szCs w:val="22"/>
          <w:vertAlign w:val="subscript"/>
        </w:rPr>
        <w:t>[</w:t>
      </w:r>
      <w:proofErr w:type="gramEnd"/>
      <w:r w:rsidRPr="008B196C">
        <w:rPr>
          <w:rFonts w:ascii="Verdana" w:hAnsi="Verdana"/>
          <w:sz w:val="22"/>
          <w:szCs w:val="22"/>
          <w:vertAlign w:val="subscript"/>
        </w:rPr>
        <w:t>9]</w:t>
      </w:r>
      <w:r w:rsidRPr="008B196C">
        <w:rPr>
          <w:rFonts w:ascii="Verdana" w:hAnsi="Verdana"/>
          <w:sz w:val="22"/>
          <w:szCs w:val="22"/>
        </w:rPr>
        <w:t xml:space="preserve"> no es de obligatorio cumplimiento o ejecución para particulares o agentes externos, de conformidad con lo establecido 1755 de 2015. No </w:t>
      </w:r>
      <w:proofErr w:type="gramStart"/>
      <w:r w:rsidRPr="008B196C">
        <w:rPr>
          <w:rFonts w:ascii="Verdana" w:hAnsi="Verdana"/>
          <w:sz w:val="22"/>
          <w:szCs w:val="22"/>
        </w:rPr>
        <w:t>obstante</w:t>
      </w:r>
      <w:proofErr w:type="gramEnd"/>
      <w:r w:rsidRPr="008B196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5A4D78C" w14:textId="77777777" w:rsidR="000F3413" w:rsidRPr="008B196C" w:rsidRDefault="000F3413" w:rsidP="008B196C">
      <w:pPr>
        <w:jc w:val="both"/>
        <w:rPr>
          <w:rFonts w:ascii="Verdana" w:hAnsi="Verdana"/>
          <w:sz w:val="22"/>
          <w:szCs w:val="22"/>
        </w:rPr>
      </w:pPr>
      <w:r w:rsidRPr="008B196C">
        <w:rPr>
          <w:rFonts w:ascii="Verdana" w:hAnsi="Verdana"/>
          <w:sz w:val="22"/>
          <w:szCs w:val="22"/>
        </w:rPr>
        <w:t>Cordialmente,</w:t>
      </w:r>
    </w:p>
    <w:p w14:paraId="1FEDC19F" w14:textId="77777777" w:rsidR="000F3413" w:rsidRPr="008B196C" w:rsidRDefault="000F3413" w:rsidP="008B196C">
      <w:pPr>
        <w:jc w:val="both"/>
        <w:rPr>
          <w:rFonts w:ascii="Verdana" w:hAnsi="Verdana"/>
          <w:sz w:val="22"/>
          <w:szCs w:val="22"/>
        </w:rPr>
      </w:pPr>
      <w:r w:rsidRPr="008B196C">
        <w:rPr>
          <w:rFonts w:ascii="Verdana" w:hAnsi="Verdana"/>
          <w:b/>
          <w:bCs/>
          <w:sz w:val="22"/>
          <w:szCs w:val="22"/>
        </w:rPr>
        <w:lastRenderedPageBreak/>
        <w:t>LUZ KARIME FERNANDEZ CASTILLO</w:t>
      </w:r>
    </w:p>
    <w:p w14:paraId="7F29A73B" w14:textId="77777777" w:rsidR="000F3413" w:rsidRPr="008B196C" w:rsidRDefault="000F3413" w:rsidP="008B196C">
      <w:pPr>
        <w:jc w:val="both"/>
        <w:rPr>
          <w:rFonts w:ascii="Verdana" w:hAnsi="Verdana"/>
          <w:sz w:val="22"/>
          <w:szCs w:val="22"/>
        </w:rPr>
      </w:pPr>
      <w:r w:rsidRPr="008B196C">
        <w:rPr>
          <w:rFonts w:ascii="Verdana" w:hAnsi="Verdana"/>
          <w:sz w:val="22"/>
          <w:szCs w:val="22"/>
        </w:rPr>
        <w:t>Jefe Oficina Asesora Jurídica</w:t>
      </w:r>
    </w:p>
    <w:p w14:paraId="3899859C" w14:textId="77777777" w:rsidR="008B196C" w:rsidRDefault="008B196C" w:rsidP="008B196C">
      <w:pPr>
        <w:jc w:val="both"/>
        <w:rPr>
          <w:rFonts w:ascii="Verdana" w:hAnsi="Verdana"/>
          <w:b/>
          <w:bCs/>
          <w:sz w:val="22"/>
          <w:szCs w:val="22"/>
        </w:rPr>
      </w:pPr>
    </w:p>
    <w:p w14:paraId="7C0184A8" w14:textId="024F55C1" w:rsidR="000F3413" w:rsidRPr="008B196C" w:rsidRDefault="008B196C" w:rsidP="008B196C">
      <w:pPr>
        <w:jc w:val="both"/>
        <w:rPr>
          <w:rFonts w:ascii="Verdana" w:hAnsi="Verdana"/>
          <w:b/>
          <w:bCs/>
          <w:sz w:val="22"/>
          <w:szCs w:val="22"/>
        </w:rPr>
      </w:pPr>
      <w:r w:rsidRPr="008B196C">
        <w:rPr>
          <w:rFonts w:ascii="Verdana" w:hAnsi="Verdana"/>
          <w:b/>
          <w:bCs/>
          <w:sz w:val="22"/>
          <w:szCs w:val="22"/>
        </w:rPr>
        <w:t xml:space="preserve">Notas Pie de Pagina </w:t>
      </w:r>
    </w:p>
    <w:p w14:paraId="614B158B" w14:textId="2FAB0556"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Artículo 633 Código Civil</w:t>
      </w:r>
    </w:p>
    <w:p w14:paraId="188660B9" w14:textId="1B1CCD4F"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Artículo 3. Decreto 2388 de 1979</w:t>
      </w:r>
    </w:p>
    <w:p w14:paraId="763949E8" w14:textId="52426392"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Artículos 3, 4 y 20 Decreto 2388 da 1979 en concordancia con el artículo 12 de la Ley 7 de 1979 y el artículo 16 de la Ley 1098 de 2006.</w:t>
      </w:r>
    </w:p>
    <w:p w14:paraId="0ED54C09" w14:textId="7C3353EA"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Por el cual se reorganiza el Sistema Nacional de Bienestar Familiar, se reglamenta el inciso primero del artículo 205 de la Ley 1098 de 2006 y se dictan otras disposiciones.</w:t>
      </w:r>
    </w:p>
    <w:p w14:paraId="27D2A766" w14:textId="2F30EDDC"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"Por la cual se reglamentan las Leyes 75 de 1968, 27 de 1974 y 7 de 1979. Hoy incorporados en el Decreto 1084 de 2015 'por medio del cual se expide el Decreto Único Reglamentario del Sector de Inclusión Social y Reconciliación', parte 4, título 1.</w:t>
      </w:r>
    </w:p>
    <w:p w14:paraId="576CBB63" w14:textId="47EA75EF"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Por la cual se dictan normas para la protección de la niñez, se establece el Sistema Nacional de Bienestar Familiar se reorganiza el Instituto Colombiano de Bienestar Familiar y se dictan otras disposiciones.</w:t>
      </w:r>
    </w:p>
    <w:p w14:paraId="015D9BD0" w14:textId="0C5B2FEC"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Por el cual se modifica parcialmente los estatutos del Instituto Colombiano de Bienestar Familiar.</w:t>
      </w:r>
    </w:p>
    <w:p w14:paraId="7F2F1BAD" w14:textId="7466B68A"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Por el cual se reglamentan las Leyes 75 de 1968, 27 de 1974 y 7 de 1979. Hoy incorporados en el Decreto 1048 de 2015 'Por medio del cual se expide el Decreto Único Reglamentario del Sector de Inclusión Social y Reconciliación', Parte 4, Título 1.</w:t>
      </w:r>
    </w:p>
    <w:p w14:paraId="4D45C6FD" w14:textId="7735FED8" w:rsidR="000F3413" w:rsidRPr="008B196C" w:rsidRDefault="000F3413" w:rsidP="008B196C">
      <w:pPr>
        <w:pStyle w:val="Prrafodelista"/>
        <w:numPr>
          <w:ilvl w:val="0"/>
          <w:numId w:val="2"/>
        </w:numPr>
        <w:jc w:val="both"/>
        <w:rPr>
          <w:rFonts w:ascii="Verdana" w:hAnsi="Verdana"/>
          <w:sz w:val="22"/>
          <w:szCs w:val="22"/>
        </w:rPr>
      </w:pPr>
      <w:r w:rsidRPr="008B196C">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w:t>
      </w:r>
      <w:r w:rsidRPr="008B196C">
        <w:rPr>
          <w:rFonts w:ascii="Verdana" w:hAnsi="Verdana"/>
          <w:i/>
          <w:iCs/>
          <w:sz w:val="22"/>
          <w:szCs w:val="22"/>
        </w:rPr>
        <w:t>a</w:t>
      </w:r>
      <w:r w:rsidRPr="008B196C">
        <w:rPr>
          <w:rFonts w:ascii="Verdana" w:hAnsi="Verdana"/>
          <w:sz w:val="22"/>
          <w:szCs w:val="22"/>
        </w:rPr>
        <w:t xml:space="preserve">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 Constituyente contenido en el art 209 ce la Constitución, en el sentido de que la función administrativa se desarrolle con fundamentos en los principios de igualdad, moralidad, eficacia, eficiencia e imparcialidad.(...) cuando el concepto tiene un carácter autorregulador de la actividad </w:t>
      </w:r>
      <w:r w:rsidRPr="008B196C">
        <w:rPr>
          <w:rFonts w:ascii="Verdana" w:hAnsi="Verdana"/>
          <w:sz w:val="22"/>
          <w:szCs w:val="22"/>
        </w:rPr>
        <w:lastRenderedPageBreak/>
        <w:t>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222A6477" w14:textId="77777777" w:rsidR="00A724C4" w:rsidRPr="008B196C" w:rsidRDefault="00A724C4" w:rsidP="008B196C">
      <w:pPr>
        <w:jc w:val="both"/>
        <w:rPr>
          <w:rFonts w:ascii="Verdana" w:hAnsi="Verdana"/>
          <w:sz w:val="22"/>
          <w:szCs w:val="22"/>
        </w:rPr>
      </w:pPr>
    </w:p>
    <w:sectPr w:rsidR="00A724C4" w:rsidRPr="008B19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62D"/>
    <w:multiLevelType w:val="hybridMultilevel"/>
    <w:tmpl w:val="65C82546"/>
    <w:lvl w:ilvl="0" w:tplc="B50862BC">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EA0F3D"/>
    <w:multiLevelType w:val="hybridMultilevel"/>
    <w:tmpl w:val="9B92AA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28138A"/>
    <w:multiLevelType w:val="hybridMultilevel"/>
    <w:tmpl w:val="B5A62F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567D41"/>
    <w:multiLevelType w:val="hybridMultilevel"/>
    <w:tmpl w:val="8DBE4F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2094304">
    <w:abstractNumId w:val="2"/>
  </w:num>
  <w:num w:numId="2" w16cid:durableId="483859369">
    <w:abstractNumId w:val="3"/>
  </w:num>
  <w:num w:numId="3" w16cid:durableId="641346033">
    <w:abstractNumId w:val="1"/>
  </w:num>
  <w:num w:numId="4" w16cid:durableId="118439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0C"/>
    <w:rsid w:val="000F3413"/>
    <w:rsid w:val="00243CB4"/>
    <w:rsid w:val="005C3B0C"/>
    <w:rsid w:val="008B196C"/>
    <w:rsid w:val="0092173B"/>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ECD3"/>
  <w15:chartTrackingRefBased/>
  <w15:docId w15:val="{71B70946-9CA7-4DDD-BC73-AEB6D110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3B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3B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3B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3B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3B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3B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3B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B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3B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3B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3B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3B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3B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3B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3B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3B0C"/>
    <w:rPr>
      <w:rFonts w:eastAsiaTheme="majorEastAsia" w:cstheme="majorBidi"/>
      <w:color w:val="272727" w:themeColor="text1" w:themeTint="D8"/>
    </w:rPr>
  </w:style>
  <w:style w:type="paragraph" w:styleId="Ttulo">
    <w:name w:val="Title"/>
    <w:basedOn w:val="Normal"/>
    <w:next w:val="Normal"/>
    <w:link w:val="TtuloCar"/>
    <w:uiPriority w:val="10"/>
    <w:qFormat/>
    <w:rsid w:val="005C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3B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3B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3B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3B0C"/>
    <w:pPr>
      <w:spacing w:before="160"/>
      <w:jc w:val="center"/>
    </w:pPr>
    <w:rPr>
      <w:i/>
      <w:iCs/>
      <w:color w:val="404040" w:themeColor="text1" w:themeTint="BF"/>
    </w:rPr>
  </w:style>
  <w:style w:type="character" w:customStyle="1" w:styleId="CitaCar">
    <w:name w:val="Cita Car"/>
    <w:basedOn w:val="Fuentedeprrafopredeter"/>
    <w:link w:val="Cita"/>
    <w:uiPriority w:val="29"/>
    <w:rsid w:val="005C3B0C"/>
    <w:rPr>
      <w:i/>
      <w:iCs/>
      <w:color w:val="404040" w:themeColor="text1" w:themeTint="BF"/>
    </w:rPr>
  </w:style>
  <w:style w:type="paragraph" w:styleId="Prrafodelista">
    <w:name w:val="List Paragraph"/>
    <w:basedOn w:val="Normal"/>
    <w:uiPriority w:val="34"/>
    <w:qFormat/>
    <w:rsid w:val="005C3B0C"/>
    <w:pPr>
      <w:ind w:left="720"/>
      <w:contextualSpacing/>
    </w:pPr>
  </w:style>
  <w:style w:type="character" w:styleId="nfasisintenso">
    <w:name w:val="Intense Emphasis"/>
    <w:basedOn w:val="Fuentedeprrafopredeter"/>
    <w:uiPriority w:val="21"/>
    <w:qFormat/>
    <w:rsid w:val="005C3B0C"/>
    <w:rPr>
      <w:i/>
      <w:iCs/>
      <w:color w:val="0F4761" w:themeColor="accent1" w:themeShade="BF"/>
    </w:rPr>
  </w:style>
  <w:style w:type="paragraph" w:styleId="Citadestacada">
    <w:name w:val="Intense Quote"/>
    <w:basedOn w:val="Normal"/>
    <w:next w:val="Normal"/>
    <w:link w:val="CitadestacadaCar"/>
    <w:uiPriority w:val="30"/>
    <w:qFormat/>
    <w:rsid w:val="005C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3B0C"/>
    <w:rPr>
      <w:i/>
      <w:iCs/>
      <w:color w:val="0F4761" w:themeColor="accent1" w:themeShade="BF"/>
    </w:rPr>
  </w:style>
  <w:style w:type="character" w:styleId="Referenciaintensa">
    <w:name w:val="Intense Reference"/>
    <w:basedOn w:val="Fuentedeprrafopredeter"/>
    <w:uiPriority w:val="32"/>
    <w:qFormat/>
    <w:rsid w:val="005C3B0C"/>
    <w:rPr>
      <w:b/>
      <w:bCs/>
      <w:smallCaps/>
      <w:color w:val="0F4761" w:themeColor="accent1" w:themeShade="BF"/>
      <w:spacing w:val="5"/>
    </w:rPr>
  </w:style>
  <w:style w:type="character" w:styleId="Hipervnculo">
    <w:name w:val="Hyperlink"/>
    <w:basedOn w:val="Fuentedeprrafopredeter"/>
    <w:uiPriority w:val="99"/>
    <w:unhideWhenUsed/>
    <w:rsid w:val="000F3413"/>
    <w:rPr>
      <w:color w:val="467886" w:themeColor="hyperlink"/>
      <w:u w:val="single"/>
    </w:rPr>
  </w:style>
  <w:style w:type="character" w:styleId="Mencinsinresolver">
    <w:name w:val="Unresolved Mention"/>
    <w:basedOn w:val="Fuentedeprrafopredeter"/>
    <w:uiPriority w:val="99"/>
    <w:semiHidden/>
    <w:unhideWhenUsed/>
    <w:rsid w:val="000F3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9091F-EAE0-4CBE-B974-1E4D17B0F358}"/>
</file>

<file path=customXml/itemProps2.xml><?xml version="1.0" encoding="utf-8"?>
<ds:datastoreItem xmlns:ds="http://schemas.openxmlformats.org/officeDocument/2006/customXml" ds:itemID="{7C140AB1-6675-4F6E-8AC2-D348861B3CD8}"/>
</file>

<file path=customXml/itemProps3.xml><?xml version="1.0" encoding="utf-8"?>
<ds:datastoreItem xmlns:ds="http://schemas.openxmlformats.org/officeDocument/2006/customXml" ds:itemID="{B3E6B5BD-012F-4B1D-826A-AF62B9AE3F1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2620</Words>
  <Characters>14412</Characters>
  <Application>Microsoft Office Word</Application>
  <DocSecurity>0</DocSecurity>
  <Lines>120</Lines>
  <Paragraphs>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2026-05-19T04:00:00Z</dcterms:created>
  <dcterms:modified xsi:type="dcterms:W3CDTF">2026-05-19T04:02:00Z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