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CDBE7" w14:textId="77777777" w:rsidR="00ED4493" w:rsidRPr="00ED4493" w:rsidRDefault="00ED4493" w:rsidP="00ED4493">
      <w:pPr>
        <w:spacing w:line="240" w:lineRule="auto"/>
        <w:jc w:val="center"/>
        <w:rPr>
          <w:rFonts w:ascii="Verdana" w:hAnsi="Verdana"/>
          <w:sz w:val="22"/>
          <w:szCs w:val="22"/>
        </w:rPr>
      </w:pPr>
      <w:r w:rsidRPr="00ED4493">
        <w:rPr>
          <w:rFonts w:ascii="Verdana" w:hAnsi="Verdana"/>
          <w:b/>
          <w:bCs/>
          <w:sz w:val="22"/>
          <w:szCs w:val="22"/>
        </w:rPr>
        <w:t>CONCEPTO 58 DE 2015</w:t>
      </w:r>
    </w:p>
    <w:p w14:paraId="5C4CCCE9" w14:textId="3F622FD2" w:rsidR="00ED4493" w:rsidRPr="00ED4493" w:rsidRDefault="00ED4493" w:rsidP="00ED4493">
      <w:pPr>
        <w:spacing w:line="240" w:lineRule="auto"/>
        <w:jc w:val="center"/>
        <w:rPr>
          <w:rFonts w:ascii="Verdana" w:hAnsi="Verdana"/>
          <w:sz w:val="22"/>
          <w:szCs w:val="22"/>
        </w:rPr>
      </w:pPr>
      <w:r w:rsidRPr="00ED4493">
        <w:rPr>
          <w:rFonts w:ascii="Verdana" w:hAnsi="Verdana"/>
          <w:sz w:val="22"/>
          <w:szCs w:val="22"/>
        </w:rPr>
        <w:t>(mayo 19</w:t>
      </w:r>
      <w:r>
        <w:rPr>
          <w:rFonts w:ascii="Verdana" w:hAnsi="Verdana"/>
          <w:sz w:val="22"/>
          <w:szCs w:val="22"/>
        </w:rPr>
        <w:t xml:space="preserve">) </w:t>
      </w:r>
    </w:p>
    <w:p w14:paraId="095DF5FE" w14:textId="77777777" w:rsidR="00ED4493" w:rsidRPr="00ED4493" w:rsidRDefault="00ED4493" w:rsidP="00ED4493">
      <w:pPr>
        <w:spacing w:line="240" w:lineRule="auto"/>
        <w:jc w:val="center"/>
        <w:rPr>
          <w:rFonts w:ascii="Verdana" w:hAnsi="Verdana"/>
          <w:sz w:val="22"/>
          <w:szCs w:val="22"/>
        </w:rPr>
      </w:pPr>
      <w:r w:rsidRPr="00ED4493">
        <w:rPr>
          <w:rFonts w:ascii="Verdana" w:hAnsi="Verdana"/>
          <w:b/>
          <w:bCs/>
          <w:sz w:val="22"/>
          <w:szCs w:val="22"/>
        </w:rPr>
        <w:t>INSTITUTO COLOMBIANO DE BIENESTAR FAMILIAR – ICBF</w:t>
      </w:r>
    </w:p>
    <w:p w14:paraId="0C556A8B" w14:textId="77777777" w:rsidR="00ED4493" w:rsidRDefault="00ED4493" w:rsidP="00ED4493">
      <w:pPr>
        <w:spacing w:line="240" w:lineRule="auto"/>
        <w:jc w:val="both"/>
        <w:rPr>
          <w:rFonts w:ascii="Verdana" w:hAnsi="Verdana"/>
          <w:b/>
          <w:bCs/>
          <w:sz w:val="22"/>
          <w:szCs w:val="22"/>
        </w:rPr>
      </w:pPr>
    </w:p>
    <w:p w14:paraId="350CD9F3" w14:textId="487D5C94"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rPr>
        <w:t xml:space="preserve">ASUNTO: </w:t>
      </w:r>
      <w:r w:rsidRPr="00ED4493">
        <w:rPr>
          <w:rFonts w:ascii="Verdana" w:hAnsi="Verdana"/>
          <w:sz w:val="22"/>
          <w:szCs w:val="22"/>
        </w:rPr>
        <w:t>Solicitud de concepto relacionada con autorización de licencia de funcionamiento para Hogares de paso.</w:t>
      </w:r>
    </w:p>
    <w:p w14:paraId="491220AF" w14:textId="3BFBB629"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consulta sobre el caso en cuestión, en los términos que siguen:</w:t>
      </w:r>
    </w:p>
    <w:p w14:paraId="577CB882" w14:textId="77777777"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u w:val="single"/>
        </w:rPr>
        <w:t>1. CONSULTA</w:t>
      </w:r>
    </w:p>
    <w:p w14:paraId="66BF3262"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¿Deben los hogares de paso tener licencia de funcionamiento por parte del ICBF, para prestar el servicio público de bienestar familiar?</w:t>
      </w:r>
    </w:p>
    <w:p w14:paraId="4FFCCDAA" w14:textId="77777777"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u w:val="single"/>
        </w:rPr>
        <w:t>2. ANALISIS</w:t>
      </w:r>
    </w:p>
    <w:p w14:paraId="306ADA76"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presente problema jurídico se abordará de la siguiente forma: (2.1) El Servicio Público de Bienestar Familiar; (2.2) Competencia del ICBF en la expedición de licencias de funcionamiento; (2.3) y los hogares de paso.</w:t>
      </w:r>
    </w:p>
    <w:p w14:paraId="0E4BA355" w14:textId="77777777"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u w:val="single"/>
        </w:rPr>
        <w:t>(2.1) El Servicio Público de Bienestar Familiar</w:t>
      </w:r>
    </w:p>
    <w:p w14:paraId="06C5ABC7"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Se entiende como Servicio Público de Bienestar Familiar el conjunto de acciones del Estado que se desarrollan para cumplir en forma integral y permanente con el reconocimiento, la garantía, protección y restablecimiento de los derechos de los niños, niñas y adolescentes, así como la prevención de su amenaza o vulneración y el fortalecimiento familiar.</w:t>
      </w:r>
      <w:r w:rsidRPr="00ED4493">
        <w:rPr>
          <w:rFonts w:ascii="Verdana" w:hAnsi="Verdana"/>
          <w:sz w:val="22"/>
          <w:szCs w:val="22"/>
          <w:vertAlign w:val="subscript"/>
        </w:rPr>
        <w:t>[1]</w:t>
      </w:r>
    </w:p>
    <w:p w14:paraId="685BB819"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artículo 205 del Código de la Infancia y la Adolescencia establece que el ICBF es el ente rector del Sistema Nacional de Bienestar Familiar y tiene a su cargo la articulación de las entidades responsables de la garantía de los derechos, la prevención de su vulneración, la protección y restablecimiento de los mismos en los ámbitos nacional, departamental, distrital y municipal.</w:t>
      </w:r>
    </w:p>
    <w:p w14:paraId="21B289E0" w14:textId="2801C241"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Decreto 936 de 2013 indica los principios rectores del Sistema Nacional de Bienestar Familiar, indicando que:</w:t>
      </w:r>
    </w:p>
    <w:p w14:paraId="59601457" w14:textId="1B347D57" w:rsidR="00ED4493" w:rsidRPr="00ED4493" w:rsidRDefault="00ED4493" w:rsidP="00ED4493">
      <w:pPr>
        <w:spacing w:line="240" w:lineRule="auto"/>
        <w:jc w:val="both"/>
        <w:rPr>
          <w:rFonts w:ascii="Verdana" w:hAnsi="Verdana"/>
          <w:sz w:val="22"/>
          <w:szCs w:val="22"/>
        </w:rPr>
      </w:pPr>
      <w:r w:rsidRPr="00ED4493">
        <w:rPr>
          <w:rFonts w:ascii="Verdana" w:hAnsi="Verdana"/>
          <w:i/>
          <w:iCs/>
          <w:sz w:val="22"/>
          <w:szCs w:val="22"/>
        </w:rPr>
        <w:t xml:space="preserve">“El Sistema Nacional de Bienestar Familiar está regido por las normas constitucionales de garantía de los derechos de niños, niñas y adolescentes, y de prevalencia de los derechos de la niñez, establecidos en el artículo 44 de la Carta Política; por la ley 12 de 1991, por medio de la cual se adopta la Convención sobre los Derechos del Niño de la Asamblea general de las Naciones Unidas; por los principios de protección integral, interés superior de los niños, las niñas y los adolescentes, prevalencia de los derechos, corresponsabilidad, exigibilidad de los derechos y perspectiva de género, consagrados en los artículos 7, 8, 9, 10, 11 y 12 de la Ley 1098 de 20016 y por los principios </w:t>
      </w:r>
      <w:r w:rsidRPr="00ED4493">
        <w:rPr>
          <w:rFonts w:ascii="Verdana" w:hAnsi="Verdana"/>
          <w:i/>
          <w:iCs/>
          <w:sz w:val="22"/>
          <w:szCs w:val="22"/>
        </w:rPr>
        <w:lastRenderedPageBreak/>
        <w:t>rectores de las políticas públicas de infancia, adolescencia y familia previstos en el artículo 203 de la misma ley”.</w:t>
      </w:r>
    </w:p>
    <w:p w14:paraId="55F92FC3"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En el marco de la necesaria articulación y coordinación el mismo Decreto dispone los objetivos del Sistema Nacional de Bienestar Familiar así:</w:t>
      </w:r>
    </w:p>
    <w:p w14:paraId="53AA23BB"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1. Lograr la protección integral de la primera infancia, la infancia y la adolescencia y promover el fortalecimiento familiar a través de una respuesta articulada y oportuna del Estado bajo el principio de corresponsabilidad con la familia y la sociedad.</w:t>
      </w:r>
    </w:p>
    <w:p w14:paraId="4129993F"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2. Promover la formulación, implementación, seguimiento y evaluación de políticas de primera infancia, infancia y adolescencia y fortalecimiento familiar en los ámbitos nacional y territorial con enfoque diferencial.</w:t>
      </w:r>
    </w:p>
    <w:p w14:paraId="73E8D755"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3. Lograr que la primera infancia, la infancia y la adolescencia y el fortalecimiento familiar sean una prioridad social, política, técnica y financiera en el ámbito nacional y territorial.</w:t>
      </w:r>
    </w:p>
    <w:p w14:paraId="4699C2BA"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4. Mejorar el ejercicio de la participación y movilización social en torno a la protección integral de la primera infancia, la infancia, la adolescencia, el fortalecimiento familiar en los niveles nacional y territorial.</w:t>
      </w:r>
    </w:p>
    <w:p w14:paraId="13D03450"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5. Evaluar y hacer seguimiento del estado de realización de derechos de los niños, niñas y adolescentes.</w:t>
      </w:r>
    </w:p>
    <w:p w14:paraId="35739344"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u w:val="single"/>
        </w:rPr>
        <w:t>(2.2) </w:t>
      </w:r>
      <w:r w:rsidRPr="00ED4493">
        <w:rPr>
          <w:rFonts w:ascii="Verdana" w:hAnsi="Verdana"/>
          <w:b/>
          <w:bCs/>
          <w:sz w:val="22"/>
          <w:szCs w:val="22"/>
          <w:u w:val="single"/>
        </w:rPr>
        <w:t>Competencia del ICBF en la expedición de licencias de funcionamiento</w:t>
      </w:r>
    </w:p>
    <w:p w14:paraId="2DE56601" w14:textId="0A57B7CF"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artículo 50 de la Ley 75 de 1968 creó el ICBF como un establecimiento público dotado de personería jurídica, autonomía administrativa y patrimonio propio, cuyo objeto es propender y fortalecer la integración y el desarrollo armónico de la familia, proteger a los niños, niñas y los 'adolescentes y garantizarles sus derechos.</w:t>
      </w:r>
    </w:p>
    <w:p w14:paraId="54870715" w14:textId="2FE8A8F4"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artículo 21 de la Ley 7</w:t>
      </w:r>
      <w:r w:rsidRPr="00ED4493">
        <w:rPr>
          <w:rFonts w:ascii="Verdana" w:hAnsi="Verdana"/>
          <w:sz w:val="22"/>
          <w:szCs w:val="22"/>
          <w:vertAlign w:val="subscript"/>
        </w:rPr>
        <w:t>[2]</w:t>
      </w:r>
      <w:r w:rsidRPr="00ED4493">
        <w:rPr>
          <w:rFonts w:ascii="Verdana" w:hAnsi="Verdana"/>
          <w:sz w:val="22"/>
          <w:szCs w:val="22"/>
        </w:rPr>
        <w:t> de 1979, al señalar las funciones asignadas al ICBF, incluyó en el numeral 6 la de asistir al presidente de la República</w:t>
      </w:r>
      <w:r w:rsidRPr="00ED4493">
        <w:rPr>
          <w:rFonts w:ascii="Verdana" w:hAnsi="Verdana"/>
          <w:sz w:val="22"/>
          <w:szCs w:val="22"/>
          <w:vertAlign w:val="subscript"/>
        </w:rPr>
        <w:t>[3]</w:t>
      </w:r>
      <w:r w:rsidRPr="00ED4493">
        <w:rPr>
          <w:rFonts w:ascii="Verdana" w:hAnsi="Verdana"/>
          <w:sz w:val="22"/>
          <w:szCs w:val="22"/>
        </w:rPr>
        <w:t> </w:t>
      </w:r>
      <w:r w:rsidRPr="00ED4493">
        <w:rPr>
          <w:rFonts w:ascii="Verdana" w:hAnsi="Verdana"/>
          <w:i/>
          <w:iCs/>
          <w:sz w:val="22"/>
          <w:szCs w:val="22"/>
        </w:rPr>
        <w:t>en la inspección y vigilancia sobre las instituciones de utilidad común que tengan como objetivo la protección de la familia, los niños, las niñas y los adolescentes.</w:t>
      </w:r>
      <w:r w:rsidRPr="00ED4493">
        <w:rPr>
          <w:rFonts w:ascii="Verdana" w:hAnsi="Verdana"/>
          <w:sz w:val="22"/>
          <w:szCs w:val="22"/>
        </w:rPr>
        <w:t> Dicha función fue fortalecida en al artículo 16 de la Ley 1098 de 2006 al señalar que: “</w:t>
      </w:r>
      <w:r w:rsidRPr="00ED4493">
        <w:rPr>
          <w:rFonts w:ascii="Verdana" w:hAnsi="Verdana"/>
          <w:i/>
          <w:iCs/>
          <w:sz w:val="22"/>
          <w:szCs w:val="22"/>
        </w:rPr>
        <w:t>todas las personas naturales o jurídicas, con personería jurídica expedida por el Instituto Colombiano de Bienestar Familiar o sin ella, que aún con autorización de los padres o representantes legales alberguen o cuiden a los niños, niñas y adolescentes son sujetos de la vigilancia del Estado".</w:t>
      </w:r>
    </w:p>
    <w:p w14:paraId="5B279ED9" w14:textId="105FDDCA"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En cumplimiento de lo anterior el numeral 8 del artículo 21 de la Ley 7 de 1979 le atribuyó al ICBF la facultad de otorgar personería jurídica a las instituciones que tienen por objeto la protección de los niños, niñas y adolescentes, así como de conceder, suspender y cancelar las licencias de funcionamiento para establecimientos públicos o privados de protección al menor de edad y a la familia y a las instituciones que desarrollen programas de adopción.</w:t>
      </w:r>
    </w:p>
    <w:p w14:paraId="1A05CC17" w14:textId="04C4307F"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lastRenderedPageBreak/>
        <w:t>Igualmente el Decreto 276</w:t>
      </w:r>
      <w:r w:rsidRPr="00ED4493">
        <w:rPr>
          <w:rFonts w:ascii="Verdana" w:hAnsi="Verdana"/>
          <w:sz w:val="22"/>
          <w:szCs w:val="22"/>
          <w:vertAlign w:val="subscript"/>
        </w:rPr>
        <w:t>[4]</w:t>
      </w:r>
      <w:r w:rsidRPr="00ED4493">
        <w:rPr>
          <w:rFonts w:ascii="Verdana" w:hAnsi="Verdana"/>
          <w:sz w:val="22"/>
          <w:szCs w:val="22"/>
        </w:rPr>
        <w:t> de 1988, estableció en su artículo 2 como una de las funciones del ICBF (...) </w:t>
      </w:r>
      <w:r w:rsidRPr="00ED4493">
        <w:rPr>
          <w:rFonts w:ascii="Verdana" w:hAnsi="Verdana"/>
          <w:i/>
          <w:iCs/>
          <w:sz w:val="22"/>
          <w:szCs w:val="22"/>
        </w:rPr>
        <w:t>n) Otorgar, conceder y suspender personerías jurídicas y licencias de funcionamiento a las Instituciones do utilidad común, que presten el servicio de Bienestar Familiar.</w:t>
      </w:r>
    </w:p>
    <w:p w14:paraId="6B735F5A" w14:textId="5425AB8F"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inciso 2 del artículo 16 del Código de la Infancia y la Adolescencia señala: “(...) </w:t>
      </w:r>
      <w:r w:rsidRPr="00ED4493">
        <w:rPr>
          <w:rFonts w:ascii="Verdana" w:hAnsi="Verdana"/>
          <w:i/>
          <w:iCs/>
          <w:sz w:val="22"/>
          <w:szCs w:val="22"/>
        </w:rPr>
        <w:t>compete al Instituto Colombiano de Bienestar Familiar como ente rector, coordinador y articulador del Sistema Nacional do Bienestar Familiar, reconocer, otorgar, suspender y cancelar personerías jurídicas y licencias de funcionamiento a las instituciones del Sistema que prestan servicios de protección a los menores de edad o la familia y a las que desarrollen el programa de adopción".</w:t>
      </w:r>
    </w:p>
    <w:p w14:paraId="441DE719" w14:textId="0D8257BE"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En este sentido mediante Resolución No. 3899 del 8 de septiembre de 2010, el ICBF estableció un régimen especial para el otorgamiento, reconocimiento, suspensión, renovación cancelación de personerías jurídicas y licencias de funcionamiento a las instituciones que pertenecen al Sistema Nacional de Bienestar Familiar, encargadas de prestar servicios de protección integral a los niños, niñas y adolescentes y autorizar a los organismos acreditados para desarrollar el Programa de adopción internacional.</w:t>
      </w:r>
    </w:p>
    <w:p w14:paraId="4A377708" w14:textId="68B69CA8"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En virtud de lo establecido en el artículo 2 de la citada resolución, </w:t>
      </w:r>
      <w:r w:rsidRPr="00ED4493">
        <w:rPr>
          <w:rFonts w:ascii="Verdana" w:hAnsi="Verdana"/>
          <w:sz w:val="22"/>
          <w:szCs w:val="22"/>
          <w:u w:val="single"/>
        </w:rPr>
        <w:t>sus disposiciones se aplican a </w:t>
      </w:r>
      <w:r w:rsidRPr="00ED4493">
        <w:rPr>
          <w:rFonts w:ascii="Verdana" w:hAnsi="Verdana"/>
          <w:i/>
          <w:iCs/>
          <w:sz w:val="22"/>
          <w:szCs w:val="22"/>
          <w:u w:val="single"/>
        </w:rPr>
        <w:t>"(...) las personas jurídicas</w:t>
      </w:r>
      <w:r w:rsidRPr="00ED4493">
        <w:rPr>
          <w:rFonts w:ascii="Verdana" w:hAnsi="Verdana"/>
          <w:i/>
          <w:iCs/>
          <w:sz w:val="22"/>
          <w:szCs w:val="22"/>
        </w:rPr>
        <w:t> nacionales o internacionales que presten servicios de protección integral dirigidos a niños, niñas o adolescentes y a sus familias en el territorio nacional, bien sea que cuenten con personería jurídica expedida por el ICBF o por autoridades diferentes, sin perjuicio de los regímenes especiales o excepcionales que rijan a poblaciones especiales tales como afro-colombianas, indígenas, raizales y ROM.</w:t>
      </w:r>
    </w:p>
    <w:p w14:paraId="4CDE5CA6"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En este sentido es claro que la licencia de funcionamiento es aplicable exclusivamente a las personas jurídicas.</w:t>
      </w:r>
    </w:p>
    <w:p w14:paraId="099537FB" w14:textId="77777777"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u w:val="single"/>
        </w:rPr>
        <w:t>(2.3) Hogares de paso</w:t>
      </w:r>
    </w:p>
    <w:p w14:paraId="3C914C56" w14:textId="3F2612C6"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De acuerdo con el lineamiento técnico para la modalidad de hogar de paso para niños, niñas y adolescentes con sus derechos amenazados, inobservados o vulnerados, aprobado mediante resolución No. 6021 del 30 de diciembre de 2010, los hogares de paso son una medida de restablecimiento de derechos, consistente en la ubicación inmediata y provisional de niños, niñas y adolescentes con familias que forman parte de la red de hogares de paso organizada en cada municipio o departamento en el marco del Sistema Nacional de Bienestar Familiar.</w:t>
      </w:r>
    </w:p>
    <w:p w14:paraId="2D2A42E7" w14:textId="176FFDCC"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Dichos hogares son conformados por familias que pertenecen a la Red de Hogares de Paso que son: </w:t>
      </w:r>
      <w:r w:rsidRPr="00ED4493">
        <w:rPr>
          <w:rFonts w:ascii="Verdana" w:hAnsi="Verdana"/>
          <w:i/>
          <w:iCs/>
          <w:sz w:val="22"/>
          <w:szCs w:val="22"/>
        </w:rPr>
        <w:t>“el grupo de familias registradas en el programa de protección de los niños, las niñas y los adolescentes que están dispuestas a cogerlos, de manera voluntaria y subsidiada por el Estado, en forma inmediata, para brindarles el cuidado y atención necesarios”. </w:t>
      </w:r>
      <w:r w:rsidRPr="00ED4493">
        <w:rPr>
          <w:rFonts w:ascii="Verdana" w:hAnsi="Verdana"/>
          <w:sz w:val="22"/>
          <w:szCs w:val="22"/>
        </w:rPr>
        <w:t>(Art. 58. Ley 1098 de 2006)</w:t>
      </w:r>
      <w:r w:rsidRPr="00ED4493">
        <w:rPr>
          <w:rFonts w:ascii="Verdana" w:hAnsi="Verdana"/>
          <w:sz w:val="22"/>
          <w:szCs w:val="22"/>
          <w:vertAlign w:val="subscript"/>
        </w:rPr>
        <w:t>[5]</w:t>
      </w:r>
    </w:p>
    <w:p w14:paraId="49557295"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Con relación a la operación de los hogares de paso es pertinente indicar que esta puede desarrollarse también a través de personas jurídicas o por las entidades territoriales.</w:t>
      </w:r>
    </w:p>
    <w:p w14:paraId="6E198FB9" w14:textId="77777777"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u w:val="single"/>
        </w:rPr>
        <w:lastRenderedPageBreak/>
        <w:t>3. </w:t>
      </w:r>
      <w:r w:rsidRPr="00ED4493">
        <w:rPr>
          <w:rFonts w:ascii="Verdana" w:hAnsi="Verdana"/>
          <w:b/>
          <w:bCs/>
          <w:sz w:val="22"/>
          <w:szCs w:val="22"/>
        </w:rPr>
        <w:t>CONCLUSIONES</w:t>
      </w:r>
    </w:p>
    <w:p w14:paraId="65ABA4FD"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Teniendo en cuenta las consideraciones de orden legal expuestas se puede concluir lo siguiente:</w:t>
      </w:r>
    </w:p>
    <w:p w14:paraId="04E576A0"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Primera: El ICBF se encuentra facultado para expedir licencias de funcionamiento en atención a la normativa indicada en el numeral 2.1 de este concepto.</w:t>
      </w:r>
    </w:p>
    <w:p w14:paraId="72047D23"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Segunda: La licencia de funcionamiento es aplicable exclusivamente a las personas jurídicas, en razón a lo anterior: (i) si una entidad se encuentra interesada en operar el servicio público de bienestar familiar en la modalidad de hogar de paso, deberá contar con la respectiva licencia de funcionamiento otorgada por el ICBF de la regional donde se va a operar el programa; (</w:t>
      </w:r>
      <w:proofErr w:type="spellStart"/>
      <w:r w:rsidRPr="00ED4493">
        <w:rPr>
          <w:rFonts w:ascii="Verdana" w:hAnsi="Verdana"/>
          <w:sz w:val="22"/>
          <w:szCs w:val="22"/>
        </w:rPr>
        <w:t>ii</w:t>
      </w:r>
      <w:proofErr w:type="spellEnd"/>
      <w:r w:rsidRPr="00ED4493">
        <w:rPr>
          <w:rFonts w:ascii="Verdana" w:hAnsi="Verdana"/>
          <w:sz w:val="22"/>
          <w:szCs w:val="22"/>
        </w:rPr>
        <w:t>) si la operación de los hogares de paso se realiza a través de familias que pertenecen a la red de hogares de paso, no necesita licencia de funcionamiento y (</w:t>
      </w:r>
      <w:proofErr w:type="spellStart"/>
      <w:r w:rsidRPr="00ED4493">
        <w:rPr>
          <w:rFonts w:ascii="Verdana" w:hAnsi="Verdana"/>
          <w:sz w:val="22"/>
          <w:szCs w:val="22"/>
        </w:rPr>
        <w:t>iii</w:t>
      </w:r>
      <w:proofErr w:type="spellEnd"/>
      <w:r w:rsidRPr="00ED4493">
        <w:rPr>
          <w:rFonts w:ascii="Verdana" w:hAnsi="Verdana"/>
          <w:sz w:val="22"/>
          <w:szCs w:val="22"/>
        </w:rPr>
        <w:t>) si la operación se realiza a través  de una entidad territorial, tampoco necesita licencia de funcionamiento atendiendo la naturaleza jurídica de estas.</w:t>
      </w:r>
    </w:p>
    <w:p w14:paraId="31419D94"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Tercera: La información relacionada con la expedición de la licencia de funcionamiento para el caso en que el hogar de paso sea desarrollado por una persona jurídica debe ser solicitada a la regional del ICBF donde opera el programa.</w:t>
      </w:r>
    </w:p>
    <w:p w14:paraId="3D4705F7" w14:textId="6AD27AB0"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El presente concepto</w:t>
      </w:r>
      <w:r w:rsidRPr="00ED4493">
        <w:rPr>
          <w:rFonts w:ascii="Verdana" w:hAnsi="Verdana"/>
          <w:sz w:val="22"/>
          <w:szCs w:val="22"/>
          <w:vertAlign w:val="subscript"/>
        </w:rPr>
        <w:t>[6]</w:t>
      </w:r>
      <w:r w:rsidRPr="00ED4493">
        <w:rPr>
          <w:rFonts w:ascii="Verdana" w:hAnsi="Verdana"/>
          <w:sz w:val="22"/>
          <w:szCs w:val="22"/>
        </w:rPr>
        <w:t> no es de obligatorio cumplimiento o ejecución para particulares o agentes externos, de conformidad con lo establecido en el artículo 28 de la ley 1437 de 2011, Código de Procedimiento Administrativo y de lo Contencioso Administrativo.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8BCAE58"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Cordialmente,</w:t>
      </w:r>
    </w:p>
    <w:p w14:paraId="2979491A" w14:textId="77777777" w:rsidR="00ED4493" w:rsidRPr="00ED4493" w:rsidRDefault="00ED4493" w:rsidP="00ED4493">
      <w:pPr>
        <w:spacing w:line="240" w:lineRule="auto"/>
        <w:jc w:val="both"/>
        <w:rPr>
          <w:rFonts w:ascii="Verdana" w:hAnsi="Verdana"/>
          <w:sz w:val="22"/>
          <w:szCs w:val="22"/>
        </w:rPr>
      </w:pPr>
      <w:r w:rsidRPr="00ED4493">
        <w:rPr>
          <w:rFonts w:ascii="Verdana" w:hAnsi="Verdana"/>
          <w:b/>
          <w:bCs/>
          <w:sz w:val="22"/>
          <w:szCs w:val="22"/>
        </w:rPr>
        <w:t>LUZ KARIME FERNANDEZ CASTILLO</w:t>
      </w:r>
    </w:p>
    <w:p w14:paraId="2CF629D6" w14:textId="77777777" w:rsidR="00ED4493" w:rsidRPr="00ED4493" w:rsidRDefault="00ED4493" w:rsidP="00ED4493">
      <w:pPr>
        <w:spacing w:line="240" w:lineRule="auto"/>
        <w:jc w:val="both"/>
        <w:rPr>
          <w:rFonts w:ascii="Verdana" w:hAnsi="Verdana"/>
          <w:sz w:val="22"/>
          <w:szCs w:val="22"/>
        </w:rPr>
      </w:pPr>
      <w:r w:rsidRPr="00ED4493">
        <w:rPr>
          <w:rFonts w:ascii="Verdana" w:hAnsi="Verdana"/>
          <w:sz w:val="22"/>
          <w:szCs w:val="22"/>
        </w:rPr>
        <w:t>Jefe Oficina Asesora Jurídica</w:t>
      </w:r>
    </w:p>
    <w:p w14:paraId="4E6A1840" w14:textId="77777777" w:rsidR="00ED4493" w:rsidRDefault="00ED4493" w:rsidP="00ED4493">
      <w:pPr>
        <w:spacing w:line="240" w:lineRule="auto"/>
        <w:jc w:val="both"/>
        <w:rPr>
          <w:rFonts w:ascii="Verdana" w:hAnsi="Verdana"/>
          <w:sz w:val="22"/>
          <w:szCs w:val="22"/>
        </w:rPr>
      </w:pPr>
    </w:p>
    <w:p w14:paraId="7AAFC3D7" w14:textId="637303EA" w:rsidR="00ED4493" w:rsidRPr="00ED4493" w:rsidRDefault="00ED4493" w:rsidP="00ED4493">
      <w:pPr>
        <w:spacing w:line="240" w:lineRule="auto"/>
        <w:jc w:val="both"/>
        <w:rPr>
          <w:rFonts w:ascii="Verdana" w:hAnsi="Verdana"/>
          <w:b/>
          <w:bCs/>
          <w:sz w:val="22"/>
          <w:szCs w:val="22"/>
        </w:rPr>
      </w:pPr>
      <w:r w:rsidRPr="00ED4493">
        <w:rPr>
          <w:rFonts w:ascii="Verdana" w:hAnsi="Verdana"/>
          <w:b/>
          <w:bCs/>
          <w:sz w:val="22"/>
          <w:szCs w:val="22"/>
        </w:rPr>
        <w:t xml:space="preserve">Notas Pie de Página: </w:t>
      </w:r>
    </w:p>
    <w:p w14:paraId="43F90BC9" w14:textId="4743B249" w:rsidR="00ED4493" w:rsidRPr="00ED4493" w:rsidRDefault="00ED4493" w:rsidP="00ED4493">
      <w:pPr>
        <w:pStyle w:val="Prrafodelista"/>
        <w:numPr>
          <w:ilvl w:val="0"/>
          <w:numId w:val="35"/>
        </w:numPr>
        <w:spacing w:line="240" w:lineRule="auto"/>
        <w:jc w:val="both"/>
        <w:rPr>
          <w:rFonts w:ascii="Verdana" w:hAnsi="Verdana"/>
          <w:sz w:val="22"/>
          <w:szCs w:val="22"/>
        </w:rPr>
      </w:pPr>
      <w:r w:rsidRPr="00ED4493">
        <w:rPr>
          <w:rFonts w:ascii="Verdana" w:hAnsi="Verdana"/>
          <w:sz w:val="22"/>
          <w:szCs w:val="22"/>
        </w:rPr>
        <w:t>Decreto 936 de 2013</w:t>
      </w:r>
    </w:p>
    <w:p w14:paraId="44460173" w14:textId="13D592B7" w:rsidR="00ED4493" w:rsidRPr="00ED4493" w:rsidRDefault="00ED4493" w:rsidP="00ED4493">
      <w:pPr>
        <w:pStyle w:val="Prrafodelista"/>
        <w:numPr>
          <w:ilvl w:val="0"/>
          <w:numId w:val="35"/>
        </w:numPr>
        <w:spacing w:line="240" w:lineRule="auto"/>
        <w:jc w:val="both"/>
        <w:rPr>
          <w:rFonts w:ascii="Verdana" w:hAnsi="Verdana"/>
          <w:sz w:val="22"/>
          <w:szCs w:val="22"/>
        </w:rPr>
      </w:pPr>
      <w:r w:rsidRPr="00ED4493">
        <w:rPr>
          <w:rFonts w:ascii="Verdana" w:hAnsi="Verdana"/>
          <w:sz w:val="22"/>
          <w:szCs w:val="22"/>
        </w:rPr>
        <w:t>Por la cual se dictan normas pura la protección de la niñez, se establece el Sistema nacional de Bienestar Familiar se reorganiza el Instituto Colombiano de Bienestar Familiar y se dictan otras disposiciones.</w:t>
      </w:r>
    </w:p>
    <w:p w14:paraId="4CB2740A" w14:textId="4D1BD072" w:rsidR="00ED4493" w:rsidRPr="00ED4493" w:rsidRDefault="00ED4493" w:rsidP="00ED4493">
      <w:pPr>
        <w:pStyle w:val="Prrafodelista"/>
        <w:numPr>
          <w:ilvl w:val="0"/>
          <w:numId w:val="35"/>
        </w:numPr>
        <w:spacing w:line="240" w:lineRule="auto"/>
        <w:jc w:val="both"/>
        <w:rPr>
          <w:rFonts w:ascii="Verdana" w:hAnsi="Verdana"/>
          <w:sz w:val="22"/>
          <w:szCs w:val="22"/>
        </w:rPr>
      </w:pPr>
      <w:r w:rsidRPr="00ED4493">
        <w:rPr>
          <w:rFonts w:ascii="Verdana" w:hAnsi="Verdana"/>
          <w:sz w:val="22"/>
          <w:szCs w:val="22"/>
        </w:rPr>
        <w:t>Constitución Política artículo 189.</w:t>
      </w:r>
    </w:p>
    <w:p w14:paraId="751A869C" w14:textId="41BE1DC3" w:rsidR="00ED4493" w:rsidRPr="00ED4493" w:rsidRDefault="00ED4493" w:rsidP="00ED4493">
      <w:pPr>
        <w:pStyle w:val="Prrafodelista"/>
        <w:numPr>
          <w:ilvl w:val="0"/>
          <w:numId w:val="35"/>
        </w:numPr>
        <w:spacing w:line="240" w:lineRule="auto"/>
        <w:jc w:val="both"/>
        <w:rPr>
          <w:rFonts w:ascii="Verdana" w:hAnsi="Verdana"/>
          <w:sz w:val="22"/>
          <w:szCs w:val="22"/>
        </w:rPr>
      </w:pPr>
      <w:r w:rsidRPr="00ED4493">
        <w:rPr>
          <w:rFonts w:ascii="Verdana" w:hAnsi="Verdana"/>
          <w:sz w:val="22"/>
          <w:szCs w:val="22"/>
        </w:rPr>
        <w:t>Por el cual se modifica parcialmente los estatutos del Instituto Colombiano de Bienestar Familiar.</w:t>
      </w:r>
    </w:p>
    <w:p w14:paraId="15AB0CDB" w14:textId="753DA4E8" w:rsidR="00ED4493" w:rsidRPr="00ED4493" w:rsidRDefault="00ED4493" w:rsidP="00ED4493">
      <w:pPr>
        <w:pStyle w:val="Prrafodelista"/>
        <w:numPr>
          <w:ilvl w:val="0"/>
          <w:numId w:val="35"/>
        </w:numPr>
        <w:spacing w:line="240" w:lineRule="auto"/>
        <w:jc w:val="both"/>
        <w:rPr>
          <w:rFonts w:ascii="Verdana" w:hAnsi="Verdana"/>
          <w:sz w:val="22"/>
          <w:szCs w:val="22"/>
        </w:rPr>
      </w:pPr>
      <w:r w:rsidRPr="00ED4493">
        <w:rPr>
          <w:rFonts w:ascii="Verdana" w:hAnsi="Verdana"/>
          <w:sz w:val="22"/>
          <w:szCs w:val="22"/>
        </w:rPr>
        <w:t xml:space="preserve">ARTÍCULO 58. RED DE HOGARES DE PASO. Se entiende por Red de Hogares de Paso el grupo de familias registradas en el programa de </w:t>
      </w:r>
      <w:r w:rsidRPr="00ED4493">
        <w:rPr>
          <w:rFonts w:ascii="Verdana" w:hAnsi="Verdana"/>
          <w:sz w:val="22"/>
          <w:szCs w:val="22"/>
        </w:rPr>
        <w:lastRenderedPageBreak/>
        <w:t>protección de los niños, las niñas y los adolescentes, que están dispuestas a acogerlos, de manera voluntaria y subsidiada por el Estado, en forma inmediata para brindarles el cuidado y atención necesarios. En todos los distritos, municipios y territorios indígenas del territorio nacional, los gobernadores, los alcaldes, con la asistencia técnica del Instituto Colombiano de Bienestar Familiar, organizarán las redes de hogares de paso y establecerá el registro, el reglamento, los recursos, los criterios de selección y los controles y mecanismos de seguimiento  y vigilancia de las familias de acuerdo con los principios establecidos en este Código.</w:t>
      </w:r>
    </w:p>
    <w:p w14:paraId="5E18DC8A" w14:textId="4FA63C9A" w:rsidR="00ED4493" w:rsidRPr="00ED4493" w:rsidRDefault="00ED4493" w:rsidP="00ED4493">
      <w:pPr>
        <w:pStyle w:val="Prrafodelista"/>
        <w:numPr>
          <w:ilvl w:val="0"/>
          <w:numId w:val="35"/>
        </w:numPr>
        <w:spacing w:line="240" w:lineRule="auto"/>
        <w:jc w:val="both"/>
        <w:rPr>
          <w:rFonts w:ascii="Verdana" w:hAnsi="Verdana"/>
          <w:sz w:val="22"/>
          <w:szCs w:val="22"/>
        </w:rPr>
      </w:pPr>
      <w:r w:rsidRPr="00ED4493">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-877 de 2000. M.P. Antonio Barrera Carbonel.</w:t>
      </w:r>
    </w:p>
    <w:p w14:paraId="4D77D58F" w14:textId="77777777" w:rsidR="008161D5" w:rsidRPr="00ED4493" w:rsidRDefault="008161D5" w:rsidP="00ED4493">
      <w:pPr>
        <w:spacing w:line="240" w:lineRule="auto"/>
        <w:jc w:val="both"/>
        <w:rPr>
          <w:rFonts w:ascii="Verdana" w:hAnsi="Verdana"/>
          <w:sz w:val="22"/>
          <w:szCs w:val="22"/>
          <w:lang w:val="es-ES"/>
        </w:rPr>
      </w:pPr>
    </w:p>
    <w:sectPr w:rsidR="008161D5" w:rsidRPr="00ED449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05127"/>
    <w:multiLevelType w:val="hybridMultilevel"/>
    <w:tmpl w:val="22E03A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E67EA0"/>
    <w:multiLevelType w:val="hybridMultilevel"/>
    <w:tmpl w:val="444A39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D134FF"/>
    <w:multiLevelType w:val="hybridMultilevel"/>
    <w:tmpl w:val="BA4A46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F3161"/>
    <w:multiLevelType w:val="hybridMultilevel"/>
    <w:tmpl w:val="7EAE7B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5741C2"/>
    <w:multiLevelType w:val="hybridMultilevel"/>
    <w:tmpl w:val="FF3C6CF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4C0407"/>
    <w:multiLevelType w:val="hybridMultilevel"/>
    <w:tmpl w:val="6DFE35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864EDA"/>
    <w:multiLevelType w:val="hybridMultilevel"/>
    <w:tmpl w:val="81C4C2B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24A3B"/>
    <w:multiLevelType w:val="hybridMultilevel"/>
    <w:tmpl w:val="3BE074A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FC5302"/>
    <w:multiLevelType w:val="hybridMultilevel"/>
    <w:tmpl w:val="A710B9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6F05D51"/>
    <w:multiLevelType w:val="hybridMultilevel"/>
    <w:tmpl w:val="5DBA36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556643"/>
    <w:multiLevelType w:val="hybridMultilevel"/>
    <w:tmpl w:val="5FE087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CC34A75"/>
    <w:multiLevelType w:val="hybridMultilevel"/>
    <w:tmpl w:val="772EA3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E032879"/>
    <w:multiLevelType w:val="hybridMultilevel"/>
    <w:tmpl w:val="30A0D6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0DE400D"/>
    <w:multiLevelType w:val="hybridMultilevel"/>
    <w:tmpl w:val="E47E3A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692483"/>
    <w:multiLevelType w:val="hybridMultilevel"/>
    <w:tmpl w:val="4EE05C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57D1A20"/>
    <w:multiLevelType w:val="hybridMultilevel"/>
    <w:tmpl w:val="0E5099F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B511FF0"/>
    <w:multiLevelType w:val="hybridMultilevel"/>
    <w:tmpl w:val="E196C5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C546B67"/>
    <w:multiLevelType w:val="hybridMultilevel"/>
    <w:tmpl w:val="37623C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7D5F2F"/>
    <w:multiLevelType w:val="hybridMultilevel"/>
    <w:tmpl w:val="EA602A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04648E2"/>
    <w:multiLevelType w:val="hybridMultilevel"/>
    <w:tmpl w:val="B300AC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08015B0"/>
    <w:multiLevelType w:val="hybridMultilevel"/>
    <w:tmpl w:val="772665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A6628D"/>
    <w:multiLevelType w:val="hybridMultilevel"/>
    <w:tmpl w:val="131ED2F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60E2DF8"/>
    <w:multiLevelType w:val="hybridMultilevel"/>
    <w:tmpl w:val="A9AE1DC0"/>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6107222"/>
    <w:multiLevelType w:val="hybridMultilevel"/>
    <w:tmpl w:val="B52018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C7B295F"/>
    <w:multiLevelType w:val="hybridMultilevel"/>
    <w:tmpl w:val="49EE99C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EFC402E"/>
    <w:multiLevelType w:val="hybridMultilevel"/>
    <w:tmpl w:val="FA9CEE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71B3323"/>
    <w:multiLevelType w:val="hybridMultilevel"/>
    <w:tmpl w:val="F9889A58"/>
    <w:lvl w:ilvl="0" w:tplc="0AC0DABA">
      <w:start w:val="1"/>
      <w:numFmt w:val="lowerLetter"/>
      <w:lvlText w:val="%1)"/>
      <w:lvlJc w:val="left"/>
      <w:pPr>
        <w:ind w:left="770" w:hanging="4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AC02713"/>
    <w:multiLevelType w:val="hybridMultilevel"/>
    <w:tmpl w:val="BF3A9A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481FD5"/>
    <w:multiLevelType w:val="hybridMultilevel"/>
    <w:tmpl w:val="C096C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2C1766"/>
    <w:multiLevelType w:val="hybridMultilevel"/>
    <w:tmpl w:val="0E12212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C7402B"/>
    <w:multiLevelType w:val="hybridMultilevel"/>
    <w:tmpl w:val="C93801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952659"/>
    <w:multiLevelType w:val="hybridMultilevel"/>
    <w:tmpl w:val="6FF8D5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9D22F81"/>
    <w:multiLevelType w:val="hybridMultilevel"/>
    <w:tmpl w:val="CBA885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A6A0831"/>
    <w:multiLevelType w:val="hybridMultilevel"/>
    <w:tmpl w:val="C4DA521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B9F6836"/>
    <w:multiLevelType w:val="hybridMultilevel"/>
    <w:tmpl w:val="4788AB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5127103">
    <w:abstractNumId w:val="4"/>
  </w:num>
  <w:num w:numId="2" w16cid:durableId="597366729">
    <w:abstractNumId w:val="1"/>
  </w:num>
  <w:num w:numId="3" w16cid:durableId="910654820">
    <w:abstractNumId w:val="13"/>
  </w:num>
  <w:num w:numId="4" w16cid:durableId="330566206">
    <w:abstractNumId w:val="7"/>
  </w:num>
  <w:num w:numId="5" w16cid:durableId="1909916623">
    <w:abstractNumId w:val="20"/>
  </w:num>
  <w:num w:numId="6" w16cid:durableId="1497724726">
    <w:abstractNumId w:val="10"/>
  </w:num>
  <w:num w:numId="7" w16cid:durableId="1713074486">
    <w:abstractNumId w:val="30"/>
  </w:num>
  <w:num w:numId="8" w16cid:durableId="828984851">
    <w:abstractNumId w:val="22"/>
  </w:num>
  <w:num w:numId="9" w16cid:durableId="1601328956">
    <w:abstractNumId w:val="26"/>
  </w:num>
  <w:num w:numId="10" w16cid:durableId="1471245638">
    <w:abstractNumId w:val="27"/>
  </w:num>
  <w:num w:numId="11" w16cid:durableId="696661912">
    <w:abstractNumId w:val="5"/>
  </w:num>
  <w:num w:numId="12" w16cid:durableId="1327126383">
    <w:abstractNumId w:val="12"/>
  </w:num>
  <w:num w:numId="13" w16cid:durableId="313028176">
    <w:abstractNumId w:val="21"/>
  </w:num>
  <w:num w:numId="14" w16cid:durableId="775095928">
    <w:abstractNumId w:val="32"/>
  </w:num>
  <w:num w:numId="15" w16cid:durableId="383335626">
    <w:abstractNumId w:val="16"/>
  </w:num>
  <w:num w:numId="16" w16cid:durableId="1391727613">
    <w:abstractNumId w:val="29"/>
  </w:num>
  <w:num w:numId="17" w16cid:durableId="644623475">
    <w:abstractNumId w:val="34"/>
  </w:num>
  <w:num w:numId="18" w16cid:durableId="355160029">
    <w:abstractNumId w:val="14"/>
  </w:num>
  <w:num w:numId="19" w16cid:durableId="2008436971">
    <w:abstractNumId w:val="0"/>
  </w:num>
  <w:num w:numId="20" w16cid:durableId="185993990">
    <w:abstractNumId w:val="15"/>
  </w:num>
  <w:num w:numId="21" w16cid:durableId="1589341576">
    <w:abstractNumId w:val="19"/>
  </w:num>
  <w:num w:numId="22" w16cid:durableId="2059206924">
    <w:abstractNumId w:val="23"/>
  </w:num>
  <w:num w:numId="23" w16cid:durableId="873351603">
    <w:abstractNumId w:val="2"/>
  </w:num>
  <w:num w:numId="24" w16cid:durableId="2141683708">
    <w:abstractNumId w:val="3"/>
  </w:num>
  <w:num w:numId="25" w16cid:durableId="1060788634">
    <w:abstractNumId w:val="11"/>
  </w:num>
  <w:num w:numId="26" w16cid:durableId="1795057575">
    <w:abstractNumId w:val="9"/>
  </w:num>
  <w:num w:numId="27" w16cid:durableId="1585795131">
    <w:abstractNumId w:val="6"/>
  </w:num>
  <w:num w:numId="28" w16cid:durableId="1728184922">
    <w:abstractNumId w:val="18"/>
  </w:num>
  <w:num w:numId="29" w16cid:durableId="1012875484">
    <w:abstractNumId w:val="8"/>
  </w:num>
  <w:num w:numId="30" w16cid:durableId="947350828">
    <w:abstractNumId w:val="33"/>
  </w:num>
  <w:num w:numId="31" w16cid:durableId="774374226">
    <w:abstractNumId w:val="25"/>
  </w:num>
  <w:num w:numId="32" w16cid:durableId="2050715293">
    <w:abstractNumId w:val="17"/>
  </w:num>
  <w:num w:numId="33" w16cid:durableId="817456626">
    <w:abstractNumId w:val="31"/>
  </w:num>
  <w:num w:numId="34" w16cid:durableId="1246651838">
    <w:abstractNumId w:val="28"/>
  </w:num>
  <w:num w:numId="35" w16cid:durableId="653526600">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A37"/>
    <w:rsid w:val="000B6B07"/>
    <w:rsid w:val="000F1D1A"/>
    <w:rsid w:val="000F7E26"/>
    <w:rsid w:val="00104849"/>
    <w:rsid w:val="0010552A"/>
    <w:rsid w:val="00125916"/>
    <w:rsid w:val="00127D97"/>
    <w:rsid w:val="00146F83"/>
    <w:rsid w:val="00151E40"/>
    <w:rsid w:val="0017222D"/>
    <w:rsid w:val="00181D66"/>
    <w:rsid w:val="001A21EC"/>
    <w:rsid w:val="001A3BD7"/>
    <w:rsid w:val="001C622F"/>
    <w:rsid w:val="001F1CE3"/>
    <w:rsid w:val="0020317C"/>
    <w:rsid w:val="00211563"/>
    <w:rsid w:val="0021626E"/>
    <w:rsid w:val="002204E3"/>
    <w:rsid w:val="00226C34"/>
    <w:rsid w:val="002408CF"/>
    <w:rsid w:val="00243CB4"/>
    <w:rsid w:val="00266ECF"/>
    <w:rsid w:val="003071DE"/>
    <w:rsid w:val="0034018A"/>
    <w:rsid w:val="003757B6"/>
    <w:rsid w:val="003A51CD"/>
    <w:rsid w:val="003E14A4"/>
    <w:rsid w:val="003F5ABD"/>
    <w:rsid w:val="004005A5"/>
    <w:rsid w:val="004032C9"/>
    <w:rsid w:val="00404622"/>
    <w:rsid w:val="0043201B"/>
    <w:rsid w:val="00464D81"/>
    <w:rsid w:val="004B5C62"/>
    <w:rsid w:val="004C739F"/>
    <w:rsid w:val="004E635F"/>
    <w:rsid w:val="00522476"/>
    <w:rsid w:val="005228AC"/>
    <w:rsid w:val="00556F3D"/>
    <w:rsid w:val="005811A8"/>
    <w:rsid w:val="00582BFF"/>
    <w:rsid w:val="00592A16"/>
    <w:rsid w:val="005B13FA"/>
    <w:rsid w:val="005C02FA"/>
    <w:rsid w:val="005C1334"/>
    <w:rsid w:val="005C27DE"/>
    <w:rsid w:val="005D3ED4"/>
    <w:rsid w:val="006002B6"/>
    <w:rsid w:val="0061491F"/>
    <w:rsid w:val="00692316"/>
    <w:rsid w:val="006D7C19"/>
    <w:rsid w:val="006E53EF"/>
    <w:rsid w:val="00723955"/>
    <w:rsid w:val="00730F86"/>
    <w:rsid w:val="00783D63"/>
    <w:rsid w:val="007C0F3C"/>
    <w:rsid w:val="007C6955"/>
    <w:rsid w:val="007D5988"/>
    <w:rsid w:val="007F2817"/>
    <w:rsid w:val="008060C8"/>
    <w:rsid w:val="008161D5"/>
    <w:rsid w:val="0083251A"/>
    <w:rsid w:val="008A241F"/>
    <w:rsid w:val="008B5891"/>
    <w:rsid w:val="008D3D94"/>
    <w:rsid w:val="008F7F7D"/>
    <w:rsid w:val="009159F9"/>
    <w:rsid w:val="00921957"/>
    <w:rsid w:val="0093086C"/>
    <w:rsid w:val="0096208E"/>
    <w:rsid w:val="0099298F"/>
    <w:rsid w:val="00993BB6"/>
    <w:rsid w:val="009A02E2"/>
    <w:rsid w:val="009A15F7"/>
    <w:rsid w:val="009A2F0F"/>
    <w:rsid w:val="009B7E6E"/>
    <w:rsid w:val="009D4C9B"/>
    <w:rsid w:val="009D6ED5"/>
    <w:rsid w:val="009E3B0B"/>
    <w:rsid w:val="00A67021"/>
    <w:rsid w:val="00A674FF"/>
    <w:rsid w:val="00A724C4"/>
    <w:rsid w:val="00AD442C"/>
    <w:rsid w:val="00B31D81"/>
    <w:rsid w:val="00B330EA"/>
    <w:rsid w:val="00B33194"/>
    <w:rsid w:val="00B52E0B"/>
    <w:rsid w:val="00BD1227"/>
    <w:rsid w:val="00BF0383"/>
    <w:rsid w:val="00C13107"/>
    <w:rsid w:val="00C2785B"/>
    <w:rsid w:val="00C60F44"/>
    <w:rsid w:val="00C64EF6"/>
    <w:rsid w:val="00CA438C"/>
    <w:rsid w:val="00CE7663"/>
    <w:rsid w:val="00D03B71"/>
    <w:rsid w:val="00D40E92"/>
    <w:rsid w:val="00D6102A"/>
    <w:rsid w:val="00D61345"/>
    <w:rsid w:val="00D61853"/>
    <w:rsid w:val="00D96A0B"/>
    <w:rsid w:val="00DA022A"/>
    <w:rsid w:val="00E56025"/>
    <w:rsid w:val="00E56719"/>
    <w:rsid w:val="00E61C80"/>
    <w:rsid w:val="00E642C9"/>
    <w:rsid w:val="00E73F67"/>
    <w:rsid w:val="00E857BE"/>
    <w:rsid w:val="00E9099E"/>
    <w:rsid w:val="00E9720D"/>
    <w:rsid w:val="00EA7F32"/>
    <w:rsid w:val="00EC1640"/>
    <w:rsid w:val="00ED4493"/>
    <w:rsid w:val="00EE5641"/>
    <w:rsid w:val="00EF582B"/>
    <w:rsid w:val="00F11CE0"/>
    <w:rsid w:val="00F647D6"/>
    <w:rsid w:val="00F67EA1"/>
    <w:rsid w:val="00F74B7A"/>
    <w:rsid w:val="00FB25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5F3BC7F9-FADA-4F95-82F4-9F2259778116}"/>
</file>

<file path=customXml/itemProps2.xml><?xml version="1.0" encoding="utf-8"?>
<ds:datastoreItem xmlns:ds="http://schemas.openxmlformats.org/officeDocument/2006/customXml" ds:itemID="{73DC9F48-91AC-4790-A920-1E7FD278F769}"/>
</file>

<file path=customXml/itemProps3.xml><?xml version="1.0" encoding="utf-8"?>
<ds:datastoreItem xmlns:ds="http://schemas.openxmlformats.org/officeDocument/2006/customXml" ds:itemID="{0AC6436E-BAD5-404C-86D7-A5E4033B7A9D}"/>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140</TotalTime>
  <Pages>5</Pages>
  <Words>2017</Words>
  <Characters>11094</Characters>
  <Application>Microsoft Office Word</Application>
  <DocSecurity>0</DocSecurity>
  <Lines>92</Lines>
  <Paragraphs>26</Paragraphs>
  <ScaleCrop>false</ScaleCrop>
  <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88</cp:revision>
  <dcterms:created xsi:type="dcterms:W3CDTF">2026-05-08T19:08:00Z</dcterms:created>
  <dcterms:modified xsi:type="dcterms:W3CDTF">2026-07-12T18:42:00Z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