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BD9E1" w14:textId="77777777" w:rsidR="00A40887" w:rsidRPr="00A40887" w:rsidRDefault="00A40887" w:rsidP="00A40887">
      <w:pPr>
        <w:spacing w:line="276" w:lineRule="auto"/>
        <w:jc w:val="center"/>
        <w:rPr>
          <w:rFonts w:ascii="Verdana" w:hAnsi="Verdana"/>
          <w:sz w:val="22"/>
          <w:szCs w:val="22"/>
        </w:rPr>
      </w:pPr>
      <w:r w:rsidRPr="00A40887">
        <w:rPr>
          <w:rFonts w:ascii="Verdana" w:hAnsi="Verdana"/>
          <w:b/>
          <w:bCs/>
          <w:sz w:val="22"/>
          <w:szCs w:val="22"/>
        </w:rPr>
        <w:t>CONCEPTO 56 DE 2014</w:t>
      </w:r>
    </w:p>
    <w:p w14:paraId="62426860" w14:textId="77777777" w:rsidR="00A40887" w:rsidRPr="00A40887" w:rsidRDefault="00A40887" w:rsidP="00A40887">
      <w:pPr>
        <w:spacing w:line="276" w:lineRule="auto"/>
        <w:jc w:val="center"/>
        <w:rPr>
          <w:rFonts w:ascii="Verdana" w:hAnsi="Verdana"/>
          <w:sz w:val="22"/>
          <w:szCs w:val="22"/>
        </w:rPr>
      </w:pPr>
      <w:r w:rsidRPr="00A40887">
        <w:rPr>
          <w:rFonts w:ascii="Verdana" w:hAnsi="Verdana"/>
          <w:sz w:val="22"/>
          <w:szCs w:val="22"/>
        </w:rPr>
        <w:t>(abril 22)</w:t>
      </w:r>
    </w:p>
    <w:p w14:paraId="44B84874" w14:textId="77777777" w:rsidR="00A40887" w:rsidRPr="00A40887" w:rsidRDefault="00A40887" w:rsidP="00A40887">
      <w:pPr>
        <w:spacing w:line="276" w:lineRule="auto"/>
        <w:jc w:val="center"/>
        <w:rPr>
          <w:rFonts w:ascii="Verdana" w:hAnsi="Verdana"/>
          <w:sz w:val="22"/>
          <w:szCs w:val="22"/>
        </w:rPr>
      </w:pPr>
      <w:r w:rsidRPr="00A40887">
        <w:rPr>
          <w:rFonts w:ascii="Verdana" w:hAnsi="Verdana"/>
          <w:b/>
          <w:bCs/>
          <w:sz w:val="22"/>
          <w:szCs w:val="22"/>
        </w:rPr>
        <w:t>INSTITUTO COLOMBIANO DE BIENESTAR FAMILIAR – ICBF</w:t>
      </w:r>
    </w:p>
    <w:p w14:paraId="2721FE05" w14:textId="77777777" w:rsidR="00A40887" w:rsidRDefault="00A40887" w:rsidP="00A40887">
      <w:pPr>
        <w:spacing w:line="276" w:lineRule="auto"/>
        <w:jc w:val="both"/>
        <w:rPr>
          <w:rFonts w:ascii="Verdana" w:hAnsi="Verdana"/>
          <w:sz w:val="22"/>
          <w:szCs w:val="22"/>
        </w:rPr>
      </w:pPr>
    </w:p>
    <w:p w14:paraId="02A7F2BF" w14:textId="706328D2"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PARA:</w:t>
      </w:r>
      <w:r>
        <w:rPr>
          <w:rFonts w:ascii="Verdana" w:hAnsi="Verdana"/>
          <w:sz w:val="22"/>
          <w:szCs w:val="22"/>
        </w:rPr>
        <w:t xml:space="preserve"> </w:t>
      </w:r>
      <w:r w:rsidRPr="00A40887">
        <w:rPr>
          <w:rFonts w:ascii="Verdana" w:hAnsi="Verdana"/>
          <w:sz w:val="22"/>
          <w:szCs w:val="22"/>
        </w:rPr>
        <w:t>Coordinadora Jurídica Regional ICBF - Cundinamarca</w:t>
      </w:r>
    </w:p>
    <w:p w14:paraId="7CC6067C" w14:textId="2495F1CB" w:rsidR="00A40887" w:rsidRDefault="00A40887" w:rsidP="00A40887">
      <w:pPr>
        <w:spacing w:line="276" w:lineRule="auto"/>
        <w:jc w:val="both"/>
        <w:rPr>
          <w:rFonts w:ascii="Verdana" w:hAnsi="Verdana"/>
          <w:sz w:val="22"/>
          <w:szCs w:val="22"/>
        </w:rPr>
      </w:pPr>
      <w:r w:rsidRPr="00A40887">
        <w:rPr>
          <w:rFonts w:ascii="Verdana" w:hAnsi="Verdana"/>
          <w:b/>
          <w:bCs/>
          <w:sz w:val="22"/>
          <w:szCs w:val="22"/>
        </w:rPr>
        <w:t>ASUNTO:</w:t>
      </w:r>
      <w:r w:rsidRPr="00A40887">
        <w:rPr>
          <w:rFonts w:ascii="Verdana" w:hAnsi="Verdana"/>
          <w:sz w:val="22"/>
          <w:szCs w:val="22"/>
        </w:rPr>
        <w:t xml:space="preserve"> </w:t>
      </w:r>
      <w:r w:rsidRPr="00A40887">
        <w:rPr>
          <w:rFonts w:ascii="Verdana" w:hAnsi="Verdana"/>
          <w:sz w:val="22"/>
          <w:szCs w:val="22"/>
        </w:rPr>
        <w:t>Consulta de la Defensora de Familia del Centro Zonal ICBF - Soacha,</w:t>
      </w:r>
    </w:p>
    <w:p w14:paraId="785612B6" w14:textId="00D815B9"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De manera atenta, en relación con el asunto que consulta la Defensora de Familia del Centro Zonal ICBF - Soacha, Dra. XXXXXXXXXX,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1918BDE4" w14:textId="77777777"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1. PROBLEMA JURÍDICO</w:t>
      </w:r>
    </w:p>
    <w:p w14:paraId="65398B59"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¿Quién es la Autoridad Administrativa competente para conocer de un Proceso Administrativo de Restablecimiento de Derechos de un niño al que se le ha verificado derechos en el municipio de Soacha, pero su residencia permanente es en Bogotá?</w:t>
      </w:r>
    </w:p>
    <w:p w14:paraId="6BA3C606" w14:textId="77777777"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2. ANÁLISIS DEL PROBLEMA JURÍDICO</w:t>
      </w:r>
    </w:p>
    <w:p w14:paraId="04F0B537"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Metodológicamente, estudiaremos 2.1 El interés Superior de los niños, niñas y adolescentes; 2.2 Procedimiento Administrativo de Restablecimiento de Derechos; 2.3 La función de las autoridades administrativas en el restablecimiento de los derechos de los niños, las niñas y los adolescentes; 2.4 La competencia de la Autoridad Administrativa; 2.5 El caso en concreto</w:t>
      </w:r>
    </w:p>
    <w:p w14:paraId="2164BB26" w14:textId="77777777"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2.1 El Interés Superior de los niños, las niñas y los adolescentes</w:t>
      </w:r>
    </w:p>
    <w:p w14:paraId="306C752D"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La Convención sobre los Derechos del Niño en el numeral primero del artículo tercero establece que </w:t>
      </w:r>
      <w:r w:rsidRPr="00A40887">
        <w:rPr>
          <w:rFonts w:ascii="Verdana" w:hAnsi="Verdana"/>
          <w:i/>
          <w:iCs/>
          <w:sz w:val="22"/>
          <w:szCs w:val="22"/>
        </w:rPr>
        <w:t>"(...) todas las medidas concernientes a los niños que tomen las instituciones públicas o privadas de bienestar social</w:t>
      </w:r>
      <w:r w:rsidRPr="00A40887">
        <w:rPr>
          <w:rFonts w:ascii="Verdana" w:hAnsi="Verdana"/>
          <w:sz w:val="22"/>
          <w:szCs w:val="22"/>
        </w:rPr>
        <w:t>, </w:t>
      </w:r>
      <w:r w:rsidRPr="00A40887">
        <w:rPr>
          <w:rFonts w:ascii="Verdana" w:hAnsi="Verdana"/>
          <w:i/>
          <w:iCs/>
          <w:sz w:val="22"/>
          <w:szCs w:val="22"/>
        </w:rPr>
        <w:t>los tribunales, las autoridades administrativas o los órganos legislativos, </w:t>
      </w:r>
      <w:r w:rsidRPr="00A40887">
        <w:rPr>
          <w:rFonts w:ascii="Verdana" w:hAnsi="Verdana"/>
          <w:i/>
          <w:iCs/>
          <w:sz w:val="22"/>
          <w:szCs w:val="22"/>
          <w:u w:val="single"/>
        </w:rPr>
        <w:t>una consideración primordial a que se</w:t>
      </w:r>
      <w:r w:rsidRPr="00A40887">
        <w:rPr>
          <w:rFonts w:ascii="Verdana" w:hAnsi="Verdana"/>
          <w:i/>
          <w:iCs/>
          <w:sz w:val="22"/>
          <w:szCs w:val="22"/>
        </w:rPr>
        <w:t> </w:t>
      </w:r>
      <w:r w:rsidRPr="00A40887">
        <w:rPr>
          <w:rFonts w:ascii="Verdana" w:hAnsi="Verdana"/>
          <w:i/>
          <w:iCs/>
          <w:sz w:val="22"/>
          <w:szCs w:val="22"/>
          <w:u w:val="single"/>
        </w:rPr>
        <w:t>atenderá será el interés superior del niño</w:t>
      </w:r>
      <w:r w:rsidRPr="00A40887">
        <w:rPr>
          <w:rFonts w:ascii="Verdana" w:hAnsi="Verdana"/>
          <w:sz w:val="22"/>
          <w:szCs w:val="22"/>
        </w:rPr>
        <w:t>” (subrayado fuera de texto).</w:t>
      </w:r>
    </w:p>
    <w:p w14:paraId="4BD8070E" w14:textId="4F1A9296"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La Constitución Política en el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39937768" w14:textId="7084A6D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lastRenderedPageBreak/>
        <w:t xml:space="preserve">Por su parte, en el artículo 8 del Código de la Infancia y la </w:t>
      </w:r>
      <w:proofErr w:type="gramStart"/>
      <w:r w:rsidRPr="00A40887">
        <w:rPr>
          <w:rFonts w:ascii="Verdana" w:hAnsi="Verdana"/>
          <w:sz w:val="22"/>
          <w:szCs w:val="22"/>
        </w:rPr>
        <w:t>Adolescencia</w:t>
      </w:r>
      <w:r w:rsidRPr="00A40887">
        <w:rPr>
          <w:rFonts w:ascii="Verdana" w:hAnsi="Verdana"/>
          <w:sz w:val="22"/>
          <w:szCs w:val="22"/>
          <w:vertAlign w:val="subscript"/>
        </w:rPr>
        <w:t>[</w:t>
      </w:r>
      <w:proofErr w:type="gramEnd"/>
      <w:r w:rsidRPr="00A40887">
        <w:rPr>
          <w:rFonts w:ascii="Verdana" w:hAnsi="Verdana"/>
          <w:sz w:val="22"/>
          <w:szCs w:val="22"/>
          <w:vertAlign w:val="subscript"/>
        </w:rPr>
        <w:t>1]</w:t>
      </w:r>
      <w:r w:rsidRPr="00A40887">
        <w:rPr>
          <w:rFonts w:ascii="Verdana" w:hAnsi="Verdana"/>
          <w:sz w:val="22"/>
          <w:szCs w:val="22"/>
        </w:rPr>
        <w:t> se define el interés superior de los niños, las niñas y los adolescentes como </w:t>
      </w:r>
      <w:r w:rsidRPr="00A40887">
        <w:rPr>
          <w:rFonts w:ascii="Verdana" w:hAnsi="Verdana"/>
          <w:i/>
          <w:iCs/>
          <w:sz w:val="22"/>
          <w:szCs w:val="22"/>
        </w:rPr>
        <w:t>“(…)</w:t>
      </w:r>
      <w:r w:rsidRPr="00A40887">
        <w:rPr>
          <w:rFonts w:ascii="Verdana" w:hAnsi="Verdana"/>
          <w:sz w:val="22"/>
          <w:szCs w:val="22"/>
        </w:rPr>
        <w:t> </w:t>
      </w:r>
      <w:r w:rsidRPr="00A40887">
        <w:rPr>
          <w:rFonts w:ascii="Verdana" w:hAnsi="Verdana"/>
          <w:i/>
          <w:iCs/>
          <w:sz w:val="22"/>
          <w:szCs w:val="22"/>
        </w:rPr>
        <w:t>el imperativo que obliga a todas las personas a garantizar la satisfacción integral y simultánea de todos sus derechos humanos, que son universales, prevalentes e interdependientes".</w:t>
      </w:r>
    </w:p>
    <w:p w14:paraId="6958AA05"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 xml:space="preserve">En ese sentido, la Corte Constitucional ha precisado que todas las actuaciones que realicen las </w:t>
      </w:r>
      <w:proofErr w:type="gramStart"/>
      <w:r w:rsidRPr="00A40887">
        <w:rPr>
          <w:rFonts w:ascii="Verdana" w:hAnsi="Verdana"/>
          <w:sz w:val="22"/>
          <w:szCs w:val="22"/>
        </w:rPr>
        <w:t>autoridades públicas</w:t>
      </w:r>
      <w:proofErr w:type="gramEnd"/>
      <w:r w:rsidRPr="00A40887">
        <w:rPr>
          <w:rFonts w:ascii="Verdana" w:hAnsi="Verdana"/>
          <w:sz w:val="22"/>
          <w:szCs w:val="22"/>
        </w:rPr>
        <w:t xml:space="preserve"> en las que se encuentren involucrados niños, niñas o adolescentes deben estar orientadas por el principio del interés superior.</w:t>
      </w:r>
      <w:r w:rsidRPr="00A40887">
        <w:rPr>
          <w:rFonts w:ascii="Verdana" w:hAnsi="Verdana"/>
          <w:sz w:val="22"/>
          <w:szCs w:val="22"/>
          <w:vertAlign w:val="subscript"/>
        </w:rPr>
        <w:t>[2]</w:t>
      </w:r>
    </w:p>
    <w:p w14:paraId="097F6879"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En efecto, la Corte ha afirmado que:</w:t>
      </w:r>
    </w:p>
    <w:p w14:paraId="77D79796"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 xml:space="preserve">"el interés superior del menor no constituye un ente abstracto, desprovisto de vínculos con la realidad concreta, sobre el cual se puedan formular </w:t>
      </w:r>
      <w:proofErr w:type="gramStart"/>
      <w:r w:rsidRPr="00A40887">
        <w:rPr>
          <w:rFonts w:ascii="Verdana" w:hAnsi="Verdana"/>
          <w:i/>
          <w:iCs/>
          <w:sz w:val="22"/>
          <w:szCs w:val="22"/>
        </w:rPr>
        <w:t>reglas</w:t>
      </w:r>
      <w:r w:rsidRPr="00A40887">
        <w:rPr>
          <w:rFonts w:ascii="Verdana" w:hAnsi="Verdana"/>
          <w:sz w:val="22"/>
          <w:szCs w:val="22"/>
        </w:rPr>
        <w:t>  </w:t>
      </w:r>
      <w:r w:rsidRPr="00A40887">
        <w:rPr>
          <w:rFonts w:ascii="Verdana" w:hAnsi="Verdana"/>
          <w:i/>
          <w:iCs/>
          <w:sz w:val="22"/>
          <w:szCs w:val="22"/>
        </w:rPr>
        <w:t>generales</w:t>
      </w:r>
      <w:proofErr w:type="gramEnd"/>
      <w:r w:rsidRPr="00A40887">
        <w:rPr>
          <w:rFonts w:ascii="Verdana" w:hAnsi="Verdana"/>
          <w:i/>
          <w:iCs/>
          <w:sz w:val="22"/>
          <w:szCs w:val="22"/>
        </w:rPr>
        <w:t xml:space="preserve"> de aplicación mecánica. Al contrario: el contenido de dicho interés, que es de naturaleza real y relacional, sólo se puede establecer prestando la debida consideración a las circunstancias individuales, únicas e irrepetibles de cada menor de edad, </w:t>
      </w:r>
      <w:proofErr w:type="gramStart"/>
      <w:r w:rsidRPr="00A40887">
        <w:rPr>
          <w:rFonts w:ascii="Verdana" w:hAnsi="Verdana"/>
          <w:i/>
          <w:iCs/>
          <w:sz w:val="22"/>
          <w:szCs w:val="22"/>
        </w:rPr>
        <w:t>que</w:t>
      </w:r>
      <w:proofErr w:type="gramEnd"/>
      <w:r w:rsidRPr="00A40887">
        <w:rPr>
          <w:rFonts w:ascii="Verdana" w:hAnsi="Verdana"/>
          <w:i/>
          <w:iCs/>
          <w:sz w:val="22"/>
          <w:szCs w:val="22"/>
        </w:rPr>
        <w:t xml:space="preserve"> en tanto sujeto digno, debe ser atendido por la familia, la sociedad y el Estado con todo el cuidado que requiere su situación personal</w:t>
      </w:r>
      <w:r w:rsidRPr="00A40887">
        <w:rPr>
          <w:rFonts w:ascii="Verdana" w:hAnsi="Verdana"/>
          <w:sz w:val="22"/>
          <w:szCs w:val="22"/>
        </w:rPr>
        <w:t>”.</w:t>
      </w:r>
      <w:r w:rsidRPr="00A40887">
        <w:rPr>
          <w:rFonts w:ascii="Verdana" w:hAnsi="Verdana"/>
          <w:sz w:val="22"/>
          <w:szCs w:val="22"/>
          <w:vertAlign w:val="subscript"/>
        </w:rPr>
        <w:t>[3]</w:t>
      </w:r>
    </w:p>
    <w:p w14:paraId="24DF4716"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Así mismo, sostuvo:</w:t>
      </w:r>
    </w:p>
    <w:p w14:paraId="24B6D88E"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r w:rsidRPr="00A40887">
        <w:rPr>
          <w:rFonts w:ascii="Verdana" w:hAnsi="Verdana"/>
          <w:i/>
          <w:iCs/>
          <w:sz w:val="22"/>
          <w:szCs w:val="22"/>
          <w:vertAlign w:val="subscript"/>
        </w:rPr>
        <w:t>[4]</w:t>
      </w:r>
    </w:p>
    <w:p w14:paraId="159E96F5"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De otra parte, en el Estatuto Integral del Defensor de Familia respecto al interés superior del niño, la niña y el adolescente se señala</w:t>
      </w:r>
    </w:p>
    <w:p w14:paraId="0011E08B"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 xml:space="preserve">"(...) se ve reflejado en una norma ampliamente aceptada por el derecho internacional, consistente en que a los menores de edad se les debe otorgar un trato preferente, acorde con su caracterización jurídica en tanto sujeto de </w:t>
      </w:r>
      <w:r w:rsidRPr="00A40887">
        <w:rPr>
          <w:rFonts w:ascii="Verdana" w:hAnsi="Verdana"/>
          <w:i/>
          <w:iCs/>
          <w:sz w:val="22"/>
          <w:szCs w:val="22"/>
        </w:rPr>
        <w:lastRenderedPageBreak/>
        <w:t>especial protección, de forma tal que se garantice su desarrollo integral y armónico como miembro de la sociedad (…)”.</w:t>
      </w:r>
    </w:p>
    <w:p w14:paraId="48DFD610" w14:textId="77777777"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2.2 Proceso Administrativo de Restablecimiento de Derechos</w:t>
      </w:r>
    </w:p>
    <w:p w14:paraId="4E240C0A"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El Proceso Administrativo de Restablecimiento de los Derechos de los niños, niñas y adolescentes es “</w:t>
      </w:r>
      <w:r w:rsidRPr="00A40887">
        <w:rPr>
          <w:rFonts w:ascii="Verdana" w:hAnsi="Verdana"/>
          <w:i/>
          <w:iCs/>
          <w:sz w:val="22"/>
          <w:szCs w:val="22"/>
        </w:rPr>
        <w:t>(...) el conjunto de actuaciones administrativas y de otra naturaleza, que la autoridad competente debe desarrollar para la restauración de su dignidad e integridad como Sujetos de Derechos, y de su capacidad para disfrutar efectivamente de los derechos que le han sido vulnerados; lo anterior, dentro del contexto de la protección integral y los principios de prevalencia, interés superior, perspectiva de género, exigibilidad de derechos, enfoque diferencial y corresponsabilidad de la familia, la sociedad y el Estado"</w:t>
      </w:r>
      <w:r w:rsidRPr="00A40887">
        <w:rPr>
          <w:rFonts w:ascii="Verdana" w:hAnsi="Verdana"/>
          <w:i/>
          <w:iCs/>
          <w:sz w:val="22"/>
          <w:szCs w:val="22"/>
          <w:vertAlign w:val="subscript"/>
        </w:rPr>
        <w:t>[5]</w:t>
      </w:r>
    </w:p>
    <w:p w14:paraId="57EEB625"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 xml:space="preserve">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w:t>
      </w:r>
      <w:proofErr w:type="gramStart"/>
      <w:r w:rsidRPr="00A40887">
        <w:rPr>
          <w:rFonts w:ascii="Verdana" w:hAnsi="Verdana"/>
          <w:sz w:val="22"/>
          <w:szCs w:val="22"/>
        </w:rPr>
        <w:t>Ley,</w:t>
      </w:r>
      <w:proofErr w:type="gramEnd"/>
      <w:r w:rsidRPr="00A40887">
        <w:rPr>
          <w:rFonts w:ascii="Verdana" w:hAnsi="Verdana"/>
          <w:sz w:val="22"/>
          <w:szCs w:val="22"/>
        </w:rPr>
        <w:t xml:space="preserve"> restablezcan a los niños, las niñas y los adolescentes el ejercicio pleno y efectivo de sus derechos.</w:t>
      </w:r>
    </w:p>
    <w:p w14:paraId="7BCE9376"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Las medidas de restablecimiento de derechos son decisiones de naturaleza administrativa que decreta la autoridad competente para garantizar y restablecer el ejercicio de los derechos de los niños, niñas y adolescentes. Pueden ser provisionales o definitivas, y deberán ser acordes con el derecho amenazado o vulnerado, garantizando, en primer término, el derecho del menor de edad a permanecer en el medio familiar.</w:t>
      </w:r>
    </w:p>
    <w:p w14:paraId="3EFC16E5" w14:textId="7840A394"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 xml:space="preserve">El artículo 100 del Código de la Infancia y la Adolescencia, establece que la actuación administrativa deberá resolverse dentro de los cuatro (4) meses siguientes a la fecha de la presentación de la solicitud o la apertura oficiosa de la </w:t>
      </w:r>
      <w:proofErr w:type="gramStart"/>
      <w:r w:rsidRPr="00A40887">
        <w:rPr>
          <w:rFonts w:ascii="Verdana" w:hAnsi="Verdana"/>
          <w:sz w:val="22"/>
          <w:szCs w:val="22"/>
        </w:rPr>
        <w:t>investigación</w:t>
      </w:r>
      <w:r w:rsidRPr="00A40887">
        <w:rPr>
          <w:rFonts w:ascii="Verdana" w:hAnsi="Verdana"/>
          <w:sz w:val="22"/>
          <w:szCs w:val="22"/>
          <w:vertAlign w:val="subscript"/>
        </w:rPr>
        <w:t>[</w:t>
      </w:r>
      <w:proofErr w:type="gramEnd"/>
      <w:r w:rsidRPr="00A40887">
        <w:rPr>
          <w:rFonts w:ascii="Verdana" w:hAnsi="Verdana"/>
          <w:sz w:val="22"/>
          <w:szCs w:val="22"/>
          <w:vertAlign w:val="subscript"/>
        </w:rPr>
        <w:t>6]</w:t>
      </w:r>
      <w:r w:rsidRPr="00A40887">
        <w:rPr>
          <w:rFonts w:ascii="Verdana" w:hAnsi="Verdana"/>
          <w:sz w:val="22"/>
          <w:szCs w:val="22"/>
        </w:rPr>
        <w:t xml:space="preserve"> y el recurso de reposición que contra el fallo se presente deberá ser resuelto dentro de los diez (10) días siguientes al vencimiento del término para interponerlo. Vencido el término para fallar o para resolver el recurso de reposición sin haberse emitido la decisión correspondiente, la autoridad administrativa perderá competencia para seguir conociendo del asunto y remitirá inmediatamente el expediente al Juez de Familia, para que de oficio adelante la actuación o el proceso respectivo, teniendo éste el deber de informar a la Procuraduría General de la Nación de </w:t>
      </w:r>
      <w:proofErr w:type="gramStart"/>
      <w:r w:rsidRPr="00A40887">
        <w:rPr>
          <w:rFonts w:ascii="Verdana" w:hAnsi="Verdana"/>
          <w:sz w:val="22"/>
          <w:szCs w:val="22"/>
        </w:rPr>
        <w:t>dichas situación</w:t>
      </w:r>
      <w:proofErr w:type="gramEnd"/>
      <w:r w:rsidRPr="00A40887">
        <w:rPr>
          <w:rFonts w:ascii="Verdana" w:hAnsi="Verdana"/>
          <w:sz w:val="22"/>
          <w:szCs w:val="22"/>
        </w:rPr>
        <w:t>.</w:t>
      </w:r>
    </w:p>
    <w:p w14:paraId="680720F0" w14:textId="42835F02"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 xml:space="preserve">De otra parte, en el parágrafo del artículo 11 de la Ley 1098 de 2006 se indica que el Instituto Colombiano de Bienestar Familiar como ente coordinador del Sistema Nacional de Bienestar Familiar definirá los lineamientos técnicos que las </w:t>
      </w:r>
      <w:r w:rsidRPr="00A40887">
        <w:rPr>
          <w:rFonts w:ascii="Verdana" w:hAnsi="Verdana"/>
          <w:sz w:val="22"/>
          <w:szCs w:val="22"/>
        </w:rPr>
        <w:lastRenderedPageBreak/>
        <w:t>entidades deben cumplir para garantizar y asegurar el restablecimiento de los derechos de los niños, las niñas y los adolescentes.</w:t>
      </w:r>
    </w:p>
    <w:p w14:paraId="7487778B" w14:textId="77777777"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2.3 La función de las autoridades administrativas en el restablecimiento de los derechos de los niños, las niñas y los adolescentes</w:t>
      </w:r>
    </w:p>
    <w:p w14:paraId="0C01FFF8"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43C572EF"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08D70A40"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La normatividad establecida en el Código de la Infancia y la Adolescencia aplica para todos los niños, niñas y adolescentes nacionales o extranjeros que se encuentren en el país, a los nacionales que se encuentren fuera del país y a aquellos con doble nacionalidad cuando una de ellas sea colombiana.</w:t>
      </w:r>
      <w:r w:rsidRPr="00A40887">
        <w:rPr>
          <w:rFonts w:ascii="Verdana" w:hAnsi="Verdana"/>
          <w:sz w:val="22"/>
          <w:szCs w:val="22"/>
          <w:vertAlign w:val="subscript"/>
        </w:rPr>
        <w:t>[7]</w:t>
      </w:r>
    </w:p>
    <w:p w14:paraId="3CB10168"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Al respecto, la Corte Constitucional precisó con relación al Código de fa Infancia y la Adolescencia que:</w:t>
      </w:r>
    </w:p>
    <w:p w14:paraId="6D8FC98C"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“El propio ordenamiento establece que sus normas son de orden público</w:t>
      </w:r>
      <w:r w:rsidRPr="00A40887">
        <w:rPr>
          <w:rFonts w:ascii="Verdana" w:hAnsi="Verdana"/>
          <w:sz w:val="22"/>
          <w:szCs w:val="22"/>
        </w:rPr>
        <w:t>, </w:t>
      </w:r>
      <w:r w:rsidRPr="00A40887">
        <w:rPr>
          <w:rFonts w:ascii="Verdana" w:hAnsi="Verdana"/>
          <w:i/>
          <w:iCs/>
          <w:sz w:val="22"/>
          <w:szCs w:val="22"/>
        </w:rPr>
        <w:t>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w:t>
      </w:r>
      <w:r w:rsidRPr="00A40887">
        <w:rPr>
          <w:rFonts w:ascii="Verdana" w:hAnsi="Verdana"/>
          <w:i/>
          <w:iCs/>
          <w:sz w:val="22"/>
          <w:szCs w:val="22"/>
          <w:vertAlign w:val="subscript"/>
        </w:rPr>
        <w:t>[8]</w:t>
      </w:r>
    </w:p>
    <w:p w14:paraId="4033E6BC"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En el capítulo III de dicho Código se establece cuáles son las autoridades competentes para el restablecimiento de los derechos de los niños, las niñas y los adolescentes, cuya función primordial es prevenir, garantizar y restablecer los derechos de los menores de edad.</w:t>
      </w:r>
    </w:p>
    <w:p w14:paraId="2227A346"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Al respecto, la Corte Constitucional indicó</w:t>
      </w:r>
    </w:p>
    <w:p w14:paraId="65AF7A43" w14:textId="233E668A"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 los artículos 81, 82 y 85 de la Ley 1098 de 2006 señalan los deberes y las funciones del defensor y del comisario de familia, siendo evidente que la misión encomendada es garantizar</w:t>
      </w:r>
      <w:r w:rsidRPr="00A40887">
        <w:rPr>
          <w:rFonts w:ascii="Verdana" w:hAnsi="Verdana"/>
          <w:sz w:val="22"/>
          <w:szCs w:val="22"/>
        </w:rPr>
        <w:t>; </w:t>
      </w:r>
      <w:r w:rsidRPr="00A40887">
        <w:rPr>
          <w:rFonts w:ascii="Verdana" w:hAnsi="Verdana"/>
          <w:i/>
          <w:iCs/>
          <w:sz w:val="22"/>
          <w:szCs w:val="22"/>
        </w:rPr>
        <w:t>proteger y restablecer los derechos prevalecientes de los menores de edad".</w:t>
      </w:r>
      <w:r w:rsidRPr="00A40887">
        <w:rPr>
          <w:rFonts w:ascii="Verdana" w:hAnsi="Verdana"/>
          <w:i/>
          <w:iCs/>
          <w:sz w:val="22"/>
          <w:szCs w:val="22"/>
          <w:vertAlign w:val="subscript"/>
        </w:rPr>
        <w:t>[9]</w:t>
      </w:r>
    </w:p>
    <w:p w14:paraId="17F24145" w14:textId="0B0622B4"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En efecto, en el artículo 96 de la Ley 1098 de 2006 se contempla que</w:t>
      </w:r>
    </w:p>
    <w:p w14:paraId="43BEC13E"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lastRenderedPageBreak/>
        <w:t>“Corresponde a los defensores de familia y comisarios de familia procurar y promover la realización y restablecimiento de los derechos reconocidos en los tratados internacionales, en la Constitución Política y en el presente Código".</w:t>
      </w:r>
    </w:p>
    <w:p w14:paraId="080844D0"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40449882"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Sus funciones van dirigidas entonces a la protección integral de los derechos de los menores de edad, a fin de evitar su amenaza, inobservancia o vulneración y restablecerlos de manera eficaz, oportuna y efectiva.</w:t>
      </w:r>
    </w:p>
    <w:p w14:paraId="229B8EDE"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En ese sentido, la función que le corresponde a los Defensores de Familia en el restablecimiento de derechos de los niños, las niñas y los adolescentes, no se circunscribe solamente a aquellos casos en que se evidencia una vulneración de sus derechos, sino también en prevenir que ello ocurra.</w:t>
      </w:r>
    </w:p>
    <w:p w14:paraId="44C493BE" w14:textId="77777777"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2.4 La competencia de la autoridad administrativa</w:t>
      </w:r>
    </w:p>
    <w:p w14:paraId="4464C999"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En este punto es importante iniciar precisando que la competencia administrativa es la atribución que la ley le otorga a algunas personas u órganos del Estado para conocer y decidir determinados asuntos de la administración pública.</w:t>
      </w:r>
    </w:p>
    <w:p w14:paraId="6996C9CC"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Generalmente, la actividad que desarrollan las autoridades administrativas está determinada por la ley, sin embargo, en algunos casos puede presentarse en su ejercicio conflicto entre ellas, bien porque consideren de su competencia el conocimiento de un asunto determinado o porque estiman lo contrario.</w:t>
      </w:r>
    </w:p>
    <w:p w14:paraId="58C8816E" w14:textId="6BE04635"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Con el fin de dirimir esta clase de conflictos, el artículo 33 del Código Contencioso Administrativo, en concordancia con la Ley 954 de 2005, estableció:</w:t>
      </w:r>
    </w:p>
    <w:p w14:paraId="1F1A4F80"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Los conflictos de competencias administrativos se promoverán de oficio o a solicitud de parte.</w:t>
      </w:r>
    </w:p>
    <w:p w14:paraId="4F68A29D"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La autoridad que se considere incompetente remitirá la actuación a la que estime competente; si está también se declara incompetente, ordenará remitir la actuación al Tribunal correspondiente o al Consejo de Estado.</w:t>
      </w:r>
    </w:p>
    <w:p w14:paraId="7C3334F4"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Si dos entidades administrativas se consideran competentes para conocer del caso y definir un determinado asunto, remitirán la actuación a la Sala de Consulta y Servicio Civil del Consejo de estado....</w:t>
      </w:r>
    </w:p>
    <w:p w14:paraId="53835F43" w14:textId="2305D5C3"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Ahora, específicamente respecto a la competencia de las autoridades administrativas, el artículo 96 de la Ley 1098 de 2006, dispone que:</w:t>
      </w:r>
    </w:p>
    <w:p w14:paraId="71EA7975"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lastRenderedPageBreak/>
        <w:t>Corresponde a los Defensores de Familia y Comisarios de Familia procurar y promover la realización y restablecimiento de los derechos reconocidos en los tratados internacionales, en la Constitución Política y en el presente Código.</w:t>
      </w:r>
    </w:p>
    <w:p w14:paraId="4B4281D4"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El seguimiento de las medidas de protección o de restablecimiento adoptadas por los Defensores y Comisarios de Familia estará a cargo del respectivo coordinador del centro zonal del Instituto Colombiano de Bienestar Familiar.</w:t>
      </w:r>
    </w:p>
    <w:p w14:paraId="517B7376" w14:textId="714535A5"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Por su parte, el artículo 97 </w:t>
      </w:r>
      <w:proofErr w:type="spellStart"/>
      <w:r w:rsidRPr="00A40887">
        <w:rPr>
          <w:rFonts w:ascii="Verdana" w:hAnsi="Verdana"/>
          <w:sz w:val="22"/>
          <w:szCs w:val="22"/>
        </w:rPr>
        <w:t>ibídem</w:t>
      </w:r>
      <w:proofErr w:type="spellEnd"/>
      <w:r w:rsidRPr="00A40887">
        <w:rPr>
          <w:rFonts w:ascii="Verdana" w:hAnsi="Verdana"/>
          <w:sz w:val="22"/>
          <w:szCs w:val="22"/>
        </w:rPr>
        <w:t xml:space="preserve"> establece la competencia de </w:t>
      </w:r>
      <w:proofErr w:type="gramStart"/>
      <w:r w:rsidRPr="00A40887">
        <w:rPr>
          <w:rFonts w:ascii="Verdana" w:hAnsi="Verdana"/>
          <w:sz w:val="22"/>
          <w:szCs w:val="22"/>
        </w:rPr>
        <w:t>éstos</w:t>
      </w:r>
      <w:proofErr w:type="gramEnd"/>
      <w:r w:rsidRPr="00A40887">
        <w:rPr>
          <w:rFonts w:ascii="Verdana" w:hAnsi="Verdana"/>
          <w:sz w:val="22"/>
          <w:szCs w:val="22"/>
        </w:rPr>
        <w:t xml:space="preserve"> funcionarios así:</w:t>
      </w:r>
    </w:p>
    <w:p w14:paraId="080960B8"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Será competente la autoridad del lugar donde se encuentre el niño, la niña o el adolescente; pero cuando se encuentre fuera del país, será competente la autoridad del lugar en donde se haya tenido su última residencia dentro del territorio nacional.</w:t>
      </w:r>
    </w:p>
    <w:p w14:paraId="6AD02711"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 xml:space="preserve">De acuerdo con las anteriores disposiciones, es claro </w:t>
      </w:r>
      <w:proofErr w:type="gramStart"/>
      <w:r w:rsidRPr="00A40887">
        <w:rPr>
          <w:rFonts w:ascii="Verdana" w:hAnsi="Verdana"/>
          <w:sz w:val="22"/>
          <w:szCs w:val="22"/>
        </w:rPr>
        <w:t>que</w:t>
      </w:r>
      <w:proofErr w:type="gramEnd"/>
      <w:r w:rsidRPr="00A40887">
        <w:rPr>
          <w:rFonts w:ascii="Verdana" w:hAnsi="Verdana"/>
          <w:sz w:val="22"/>
          <w:szCs w:val="22"/>
        </w:rPr>
        <w:t xml:space="preserve"> en materia de infancia y adolescencia, la autoridad administrativa competente para conocer del proceso Administrativo de Restablecimiento de Derechos es la del </w:t>
      </w:r>
      <w:r w:rsidRPr="00A40887">
        <w:rPr>
          <w:rFonts w:ascii="Verdana" w:hAnsi="Verdana"/>
          <w:b/>
          <w:bCs/>
          <w:sz w:val="22"/>
          <w:szCs w:val="22"/>
          <w:u w:val="single"/>
        </w:rPr>
        <w:t>lugar donde se encuentre el niño, niña o adolescente.</w:t>
      </w:r>
    </w:p>
    <w:p w14:paraId="4E77A82B" w14:textId="77777777"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2.5 El caso en concreto</w:t>
      </w:r>
    </w:p>
    <w:p w14:paraId="5F7B5029"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Es importante señalar que es fundamental la atención primaria de los niños, las niñas y los adolescentes por parte de la primera autoridad que conoce el caso en donde se pone en evidencia la vulneración sus derechos, entendiendo que más allá de quién es el competente dentro del sistema, no deberá desatenderse jamás la calidad de la atención teniendo en cuenta la prevalencia y el interés superior de los niños, niñas y adolescentes.</w:t>
      </w:r>
    </w:p>
    <w:p w14:paraId="18BF2D3B" w14:textId="19721000"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En lo que tiene que ver con la verificación de los derechos prevista en el artículo 52 de la Ley 1098 de 2006, es preciso señalar que la debe realizar la primera autoridad administrativa que conozca del evento de riesgo o daño para el menor de edad, más allá de criterios de competencia meramente formales.</w:t>
      </w:r>
    </w:p>
    <w:p w14:paraId="7936FF54" w14:textId="77777777" w:rsidR="00A40887" w:rsidRPr="00A40887" w:rsidRDefault="00A40887" w:rsidP="00A40887">
      <w:pPr>
        <w:spacing w:line="276" w:lineRule="auto"/>
        <w:jc w:val="both"/>
        <w:rPr>
          <w:rFonts w:ascii="Verdana" w:hAnsi="Verdana"/>
          <w:sz w:val="22"/>
          <w:szCs w:val="22"/>
        </w:rPr>
      </w:pPr>
      <w:proofErr w:type="gramStart"/>
      <w:r w:rsidRPr="00A40887">
        <w:rPr>
          <w:rFonts w:ascii="Verdana" w:hAnsi="Verdana"/>
          <w:sz w:val="22"/>
          <w:szCs w:val="22"/>
        </w:rPr>
        <w:t>Ésta</w:t>
      </w:r>
      <w:proofErr w:type="gramEnd"/>
      <w:r w:rsidRPr="00A40887">
        <w:rPr>
          <w:rFonts w:ascii="Verdana" w:hAnsi="Verdana"/>
          <w:sz w:val="22"/>
          <w:szCs w:val="22"/>
        </w:rPr>
        <w:t xml:space="preserve"> verificación de derechos debe ser </w:t>
      </w:r>
      <w:proofErr w:type="gramStart"/>
      <w:r w:rsidRPr="00A40887">
        <w:rPr>
          <w:rFonts w:ascii="Verdana" w:hAnsi="Verdana"/>
          <w:sz w:val="22"/>
          <w:szCs w:val="22"/>
        </w:rPr>
        <w:t>sin lugar a dudas</w:t>
      </w:r>
      <w:proofErr w:type="gramEnd"/>
      <w:r w:rsidRPr="00A40887">
        <w:rPr>
          <w:rFonts w:ascii="Verdana" w:hAnsi="Verdana"/>
          <w:sz w:val="22"/>
          <w:szCs w:val="22"/>
        </w:rPr>
        <w:t xml:space="preserve"> real y efectiva, pero ante todo reflexiva, pues convertida simplemente en un requisito de procedibilidad para que un niño, niña o adolescente sea atendido, sería ir en contravía de los derechos fundamentales de los menores de edad, que gozan de una protección reforzada.</w:t>
      </w:r>
    </w:p>
    <w:p w14:paraId="4DEE43FC" w14:textId="6AC04F9C"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Ahora bien, los artículos 96, 97 y 98 de la Ley 1098 de 2006, normas de carácter especial y prevalente, establecen </w:t>
      </w:r>
      <w:r w:rsidRPr="00A40887">
        <w:rPr>
          <w:rFonts w:ascii="Verdana" w:hAnsi="Verdana"/>
          <w:b/>
          <w:bCs/>
          <w:sz w:val="22"/>
          <w:szCs w:val="22"/>
        </w:rPr>
        <w:t>la competencia </w:t>
      </w:r>
      <w:r w:rsidRPr="00A40887">
        <w:rPr>
          <w:rFonts w:ascii="Verdana" w:hAnsi="Verdana"/>
          <w:sz w:val="22"/>
          <w:szCs w:val="22"/>
        </w:rPr>
        <w:t xml:space="preserve">para conocer del Proceso Administrativo de Restablecimiento de Derechos. De acuerdo con dichos artículos, la competencia para conocer de este proceso la tiene el Defensor de Familia del lugar donde se encuentre el niño, niña o adolescente en el territorio </w:t>
      </w:r>
      <w:r w:rsidRPr="00A40887">
        <w:rPr>
          <w:rFonts w:ascii="Verdana" w:hAnsi="Verdana"/>
          <w:sz w:val="22"/>
          <w:szCs w:val="22"/>
        </w:rPr>
        <w:lastRenderedPageBreak/>
        <w:t>nacional, o si se encuentra en el exterior, el del lugar donde haya tenido su última residencia.</w:t>
      </w:r>
    </w:p>
    <w:p w14:paraId="48B2E7CC"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En este punto es pertinente aclarar que la norma en mención no hace referencia domicilio del niño, niña y adolescente, sino al lugar donde este se encuentre, independientemente de si tiene o no el ánimo de permanecer allí.</w:t>
      </w:r>
    </w:p>
    <w:p w14:paraId="1273615E" w14:textId="75B8DFD8"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Al respecto en el Estatuto integral del Defensor de Familia, aprobado mediante Resolución No. 0652 de 2011, del Instituto Colombiano de Bienestar Familiar, se expresó:</w:t>
      </w:r>
    </w:p>
    <w:p w14:paraId="6F6B07F8" w14:textId="77777777"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“Cuando</w:t>
      </w:r>
      <w:r w:rsidRPr="00A40887">
        <w:rPr>
          <w:rFonts w:ascii="Verdana" w:hAnsi="Verdana"/>
          <w:sz w:val="22"/>
          <w:szCs w:val="22"/>
        </w:rPr>
        <w:t> </w:t>
      </w:r>
      <w:r w:rsidRPr="00A40887">
        <w:rPr>
          <w:rFonts w:ascii="Verdana" w:hAnsi="Verdana"/>
          <w:i/>
          <w:iCs/>
          <w:sz w:val="22"/>
          <w:szCs w:val="22"/>
        </w:rPr>
        <w:t>concurra</w:t>
      </w:r>
      <w:r w:rsidRPr="00A40887">
        <w:rPr>
          <w:rFonts w:ascii="Verdana" w:hAnsi="Verdana"/>
          <w:sz w:val="22"/>
          <w:szCs w:val="22"/>
        </w:rPr>
        <w:t> </w:t>
      </w:r>
      <w:r w:rsidRPr="00A40887">
        <w:rPr>
          <w:rFonts w:ascii="Verdana" w:hAnsi="Verdana"/>
          <w:i/>
          <w:iCs/>
          <w:sz w:val="22"/>
          <w:szCs w:val="22"/>
        </w:rPr>
        <w:t>alguna circunstancia particular durante el proceso administrativo y el niño, niña o adolescente deba ser trasladado de región o residencia, su traslado se efectuará al mismo tiempo con su historia de atención y el correspondiente proceso (…)”.</w:t>
      </w:r>
      <w:r w:rsidRPr="00A40887">
        <w:rPr>
          <w:rFonts w:ascii="Verdana" w:hAnsi="Verdana"/>
          <w:i/>
          <w:iCs/>
          <w:sz w:val="22"/>
          <w:szCs w:val="22"/>
          <w:vertAlign w:val="subscript"/>
        </w:rPr>
        <w:t>[10]</w:t>
      </w:r>
    </w:p>
    <w:p w14:paraId="781DB777"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En el mismo sentido, el máximo órgano de la jurisdicción contenciosa administrativa consagró:</w:t>
      </w:r>
    </w:p>
    <w:p w14:paraId="27145288" w14:textId="6E4099BB" w:rsidR="00A40887" w:rsidRPr="00A40887" w:rsidRDefault="00A40887" w:rsidP="00A40887">
      <w:pPr>
        <w:spacing w:line="276" w:lineRule="auto"/>
        <w:jc w:val="both"/>
        <w:rPr>
          <w:rFonts w:ascii="Verdana" w:hAnsi="Verdana"/>
          <w:sz w:val="22"/>
          <w:szCs w:val="22"/>
        </w:rPr>
      </w:pPr>
      <w:r w:rsidRPr="00A40887">
        <w:rPr>
          <w:rFonts w:ascii="Verdana" w:hAnsi="Verdana"/>
          <w:i/>
          <w:iCs/>
          <w:sz w:val="22"/>
          <w:szCs w:val="22"/>
        </w:rPr>
        <w:t>“(...) El cambio del domicilio del menor (sic) hace que la competencia para continuar con el proceso administrativo de restablecimiento de derechos pase a la </w:t>
      </w:r>
      <w:r w:rsidRPr="00A40887">
        <w:rPr>
          <w:rFonts w:ascii="Verdana" w:hAnsi="Verdana"/>
          <w:sz w:val="22"/>
          <w:szCs w:val="22"/>
        </w:rPr>
        <w:t> </w:t>
      </w:r>
      <w:r w:rsidRPr="00A40887">
        <w:rPr>
          <w:rFonts w:ascii="Verdana" w:hAnsi="Verdana"/>
          <w:i/>
          <w:iCs/>
          <w:sz w:val="22"/>
          <w:szCs w:val="22"/>
        </w:rPr>
        <w:t>autoridad del lugar a donde se encuentre (...) Siguiendo la regla establecida en el artículo 97 ley 1098 de 2006, el cambio del domicilio de la niña traería entonces dos consecuencias implícitas: la primera, que la competencia para continuar con el proceso administrativo de restablecimiento de derechos debe pasar a la autoridad del lugar a donde se encuentre y la segunda, que la autoridad que inició el proceso no puede mantener la competencia para seguir conociendo del asunto. En el presente asunto, la medida tomada por la defensoría de familia del centro zonal Chaparral regional Tolima fue dejar provisionalmente la custodia de la niña en cabeza de la madre, quien manifestó su intención de radicarse en la ciudad de Medellín. Por lo cual, al cambiar el domicilio de la niña cuyos derechos se pretenden proteger, corresponde seguir conociendo el asunto a la dependencia del ICBF que se encuentre en el lugar donde ésta resida, vale decir, a la defensoría de familia del centro zonal nororiental No. 1 regional Antioquia, entidad a la que se declarará competente”.</w:t>
      </w:r>
      <w:r w:rsidRPr="00A40887">
        <w:rPr>
          <w:rFonts w:ascii="Verdana" w:hAnsi="Verdana"/>
          <w:i/>
          <w:iCs/>
          <w:sz w:val="22"/>
          <w:szCs w:val="22"/>
          <w:vertAlign w:val="subscript"/>
        </w:rPr>
        <w:t>[11]</w:t>
      </w:r>
    </w:p>
    <w:p w14:paraId="51AF0073"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 xml:space="preserve">En el caso que aquí se consulta, puede concluirse de acuerdo a la normatividad y la jurisprudencia antes citada que el niño que fue inicialmente atendido por la Defensora de Familia del Centro Zonal ICBF - Soacha de forma diligente y efectiva, deberá trasladarse con su historia de atención o con el respectivo Proceso Administrativo de Restablecimiento de Derechos al Centro Zonal ICBF de Bogotá que le corresponda, como quiera que su proceso tiene que permanecer en el lugar donde se encuentre el menor de edad, con el fin de </w:t>
      </w:r>
      <w:r w:rsidRPr="00A40887">
        <w:rPr>
          <w:rFonts w:ascii="Verdana" w:hAnsi="Verdana"/>
          <w:sz w:val="22"/>
          <w:szCs w:val="22"/>
        </w:rPr>
        <w:lastRenderedPageBreak/>
        <w:t>brindar de manera oportuna la atención y las medidas de restablecimiento de derechos que el menor de edad requiera.</w:t>
      </w:r>
    </w:p>
    <w:p w14:paraId="41B11BD6" w14:textId="77777777"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3. CONCLUSIONES</w:t>
      </w:r>
    </w:p>
    <w:p w14:paraId="4285B556"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Primero: El interés superior de los niños, niñas y adolescentes es el imperativo que obliga a todas las personas a garantizar la satisfacción integral y simultánea de todos sus derechos humanos, que son universales, prevalentes e interdependientes.</w:t>
      </w:r>
    </w:p>
    <w:p w14:paraId="1E8A80DB"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Segundo: Los Defensores de Familia deben garantizar, proteger y restablecer los derechos prevalecientes de los menores de edad.</w:t>
      </w:r>
    </w:p>
    <w:p w14:paraId="427E1884"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Tercero: En asuntos que tengan que ver con la infancia y adolescencia, la Autoridad Administrativa competente para conocer del proceso Administrativo de Restablecimiento de Derechos es la del lugar donde se encuentre el niño, niña o adolescente.</w:t>
      </w:r>
    </w:p>
    <w:p w14:paraId="7A7F5A50"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Cuarto: De conformidad con la normatividad y la jurisprudencia del Consejo de Estado, si por alguna circunstancia durante el Proceso Administrativo de Restablecimiento de Derechos el niño, niña o adolescente es trasladado a otro Municipio o Región, su traslado deberá realizarse con su historia de atención y el correspondiente proceso.</w:t>
      </w:r>
    </w:p>
    <w:p w14:paraId="02B8B184" w14:textId="375CEB90"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 xml:space="preserve">Por </w:t>
      </w:r>
      <w:r w:rsidRPr="00A40887">
        <w:rPr>
          <w:rFonts w:ascii="Verdana" w:hAnsi="Verdana"/>
          <w:sz w:val="22"/>
          <w:szCs w:val="22"/>
        </w:rPr>
        <w:t>último,</w:t>
      </w:r>
      <w:r w:rsidRPr="00A40887">
        <w:rPr>
          <w:rFonts w:ascii="Verdana" w:hAnsi="Verdana"/>
          <w:sz w:val="22"/>
          <w:szCs w:val="22"/>
        </w:rPr>
        <w:t xml:space="preserve"> es preciso indicar que el presente </w:t>
      </w:r>
      <w:r w:rsidRPr="00A40887">
        <w:rPr>
          <w:rFonts w:ascii="Verdana" w:hAnsi="Verdana"/>
          <w:sz w:val="22"/>
          <w:szCs w:val="22"/>
        </w:rPr>
        <w:t>concepto</w:t>
      </w:r>
      <w:r w:rsidRPr="00A40887">
        <w:rPr>
          <w:rFonts w:ascii="Verdana" w:hAnsi="Verdana"/>
          <w:sz w:val="22"/>
          <w:szCs w:val="22"/>
          <w:vertAlign w:val="subscript"/>
        </w:rPr>
        <w:t xml:space="preserve"> [</w:t>
      </w:r>
      <w:r w:rsidRPr="00A40887">
        <w:rPr>
          <w:rFonts w:ascii="Verdana" w:hAnsi="Verdana"/>
          <w:sz w:val="22"/>
          <w:szCs w:val="22"/>
          <w:vertAlign w:val="subscript"/>
        </w:rPr>
        <w:t>12]</w:t>
      </w:r>
      <w:r w:rsidRPr="00A40887">
        <w:rPr>
          <w:rFonts w:ascii="Verdana" w:hAnsi="Verdana"/>
          <w:sz w:val="22"/>
          <w:szCs w:val="22"/>
        </w:rPr>
        <w:t xml:space="preserve"> no es de obligatorio cumplimiento o ejecución para particulares o agentes externos, de conformidad con lo establecido en el artículo 28 de la ley 1427 de 2011, Código de Procedimiento Administrativo y de lo Contencioso Administrativo. No </w:t>
      </w:r>
      <w:r w:rsidRPr="00A40887">
        <w:rPr>
          <w:rFonts w:ascii="Verdana" w:hAnsi="Verdana"/>
          <w:sz w:val="22"/>
          <w:szCs w:val="22"/>
        </w:rPr>
        <w:t>obstante,</w:t>
      </w:r>
      <w:r w:rsidRPr="00A40887">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3C1419F" w14:textId="77777777" w:rsidR="00A40887" w:rsidRDefault="00A40887" w:rsidP="00A40887">
      <w:pPr>
        <w:spacing w:line="276" w:lineRule="auto"/>
        <w:jc w:val="both"/>
        <w:rPr>
          <w:rFonts w:ascii="Verdana" w:hAnsi="Verdana"/>
          <w:sz w:val="22"/>
          <w:szCs w:val="22"/>
        </w:rPr>
      </w:pPr>
    </w:p>
    <w:p w14:paraId="027ED193" w14:textId="409308B1"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Cordialmente,</w:t>
      </w:r>
    </w:p>
    <w:p w14:paraId="2111BD2C" w14:textId="77777777" w:rsidR="00A40887" w:rsidRDefault="00A40887" w:rsidP="00A40887">
      <w:pPr>
        <w:spacing w:line="276" w:lineRule="auto"/>
        <w:jc w:val="both"/>
        <w:rPr>
          <w:rFonts w:ascii="Verdana" w:hAnsi="Verdana"/>
          <w:b/>
          <w:bCs/>
          <w:sz w:val="22"/>
          <w:szCs w:val="22"/>
        </w:rPr>
      </w:pPr>
    </w:p>
    <w:p w14:paraId="563AA5DB" w14:textId="12D8C532" w:rsidR="00A40887" w:rsidRPr="00A40887" w:rsidRDefault="00A40887" w:rsidP="00A40887">
      <w:pPr>
        <w:spacing w:line="276" w:lineRule="auto"/>
        <w:jc w:val="both"/>
        <w:rPr>
          <w:rFonts w:ascii="Verdana" w:hAnsi="Verdana"/>
          <w:sz w:val="22"/>
          <w:szCs w:val="22"/>
        </w:rPr>
      </w:pPr>
      <w:r w:rsidRPr="00A40887">
        <w:rPr>
          <w:rFonts w:ascii="Verdana" w:hAnsi="Verdana"/>
          <w:b/>
          <w:bCs/>
          <w:sz w:val="22"/>
          <w:szCs w:val="22"/>
        </w:rPr>
        <w:t>LUISA MARINA BALLESTEROS ARISTIZABAL</w:t>
      </w:r>
    </w:p>
    <w:p w14:paraId="22F9AEE7" w14:textId="77777777" w:rsidR="00A40887" w:rsidRPr="00A40887" w:rsidRDefault="00A40887" w:rsidP="00A40887">
      <w:pPr>
        <w:spacing w:line="276" w:lineRule="auto"/>
        <w:jc w:val="both"/>
        <w:rPr>
          <w:rFonts w:ascii="Verdana" w:hAnsi="Verdana"/>
          <w:sz w:val="22"/>
          <w:szCs w:val="22"/>
        </w:rPr>
      </w:pPr>
      <w:r w:rsidRPr="00A40887">
        <w:rPr>
          <w:rFonts w:ascii="Verdana" w:hAnsi="Verdana"/>
          <w:sz w:val="22"/>
          <w:szCs w:val="22"/>
        </w:rPr>
        <w:t>Jefe Oficina Asesora Jurídica</w:t>
      </w:r>
    </w:p>
    <w:p w14:paraId="2A54D0BE" w14:textId="77777777" w:rsidR="00A40887" w:rsidRDefault="00A40887" w:rsidP="00A40887">
      <w:pPr>
        <w:spacing w:line="276" w:lineRule="auto"/>
        <w:jc w:val="both"/>
        <w:rPr>
          <w:rFonts w:ascii="Verdana" w:hAnsi="Verdana"/>
          <w:b/>
          <w:bCs/>
          <w:sz w:val="22"/>
          <w:szCs w:val="22"/>
        </w:rPr>
      </w:pPr>
    </w:p>
    <w:p w14:paraId="5FB798C7" w14:textId="3A069A28" w:rsidR="00A40887" w:rsidRPr="00A40887" w:rsidRDefault="00A40887" w:rsidP="00A40887">
      <w:pPr>
        <w:spacing w:line="276" w:lineRule="auto"/>
        <w:jc w:val="both"/>
        <w:rPr>
          <w:rFonts w:ascii="Verdana" w:hAnsi="Verdana"/>
          <w:b/>
          <w:bCs/>
          <w:sz w:val="22"/>
          <w:szCs w:val="22"/>
        </w:rPr>
      </w:pPr>
      <w:r w:rsidRPr="00A40887">
        <w:rPr>
          <w:rFonts w:ascii="Verdana" w:hAnsi="Verdana"/>
          <w:b/>
          <w:bCs/>
          <w:sz w:val="22"/>
          <w:szCs w:val="22"/>
        </w:rPr>
        <w:t xml:space="preserve">Notas Pie de Página: </w:t>
      </w:r>
    </w:p>
    <w:p w14:paraId="216CE15D" w14:textId="2D633C67" w:rsidR="00A40887" w:rsidRP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lastRenderedPageBreak/>
        <w:t>Ley 1098 del 8 de noviembre de 2006.</w:t>
      </w:r>
    </w:p>
    <w:p w14:paraId="690E62CE" w14:textId="020AF65F" w:rsidR="00A40887" w:rsidRP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Corte Constitucional, sentencia T-408-95, expediente T-71149, M.P: Eduardo Cifuentes Muñoz.</w:t>
      </w:r>
    </w:p>
    <w:p w14:paraId="67F1779D" w14:textId="2EFDA5E1" w:rsidR="00A40887" w:rsidRP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T-503 de 2003 y T-397 de 2004 (MP. Manuel José Cepeda Espinosa). Cita sacada de la sentencia T-502 de 2011, expediente T-2622716. M.P: Jorge Ignacio Pretelt Chaljub.</w:t>
      </w:r>
    </w:p>
    <w:p w14:paraId="3586A8C3" w14:textId="76F626ED" w:rsidR="00A40887" w:rsidRP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Corte Constitucional, sentencia T-587 de 1997, M.P. Dr. Eduardo Cifuentes Muñoz</w:t>
      </w:r>
    </w:p>
    <w:p w14:paraId="0A051BCE" w14:textId="6256CAED" w:rsidR="00A40887" w:rsidRP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Resolución No. 005929 del 27 de diciembre de 2010.</w:t>
      </w:r>
    </w:p>
    <w:p w14:paraId="010874F2" w14:textId="47AD6412" w:rsidR="00A40887" w:rsidRP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Ley 1098 de 20066.</w:t>
      </w:r>
    </w:p>
    <w:p w14:paraId="3C7B29DA" w14:textId="0BEC606E" w:rsidR="00A40887" w:rsidRP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Artículo 4o de la Ley 1098 de 2006.</w:t>
      </w:r>
    </w:p>
    <w:p w14:paraId="5C01640A" w14:textId="1E734380" w:rsidR="00A40887" w:rsidRP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Corte Constitucional, C-149 del 11 de marzo de 2009. M.P: Dr. Gabriel Eduardo Mendoza Martelo.</w:t>
      </w:r>
    </w:p>
    <w:p w14:paraId="52C56CED" w14:textId="77777777" w:rsid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 xml:space="preserve">Corte Constitucional, sentencia C-690/08, expediente D-6939, </w:t>
      </w:r>
      <w:proofErr w:type="spellStart"/>
      <w:r w:rsidRPr="00A40887">
        <w:rPr>
          <w:rFonts w:ascii="Verdana" w:hAnsi="Verdana"/>
          <w:sz w:val="22"/>
          <w:szCs w:val="22"/>
        </w:rPr>
        <w:t>M.p</w:t>
      </w:r>
      <w:proofErr w:type="spellEnd"/>
      <w:r w:rsidRPr="00A40887">
        <w:rPr>
          <w:rFonts w:ascii="Verdana" w:hAnsi="Verdana"/>
          <w:sz w:val="22"/>
          <w:szCs w:val="22"/>
        </w:rPr>
        <w:t xml:space="preserve">: Nilson Pinilla </w:t>
      </w:r>
      <w:proofErr w:type="spellStart"/>
      <w:r w:rsidRPr="00A40887">
        <w:rPr>
          <w:rFonts w:ascii="Verdana" w:hAnsi="Verdana"/>
          <w:sz w:val="22"/>
          <w:szCs w:val="22"/>
        </w:rPr>
        <w:t>Pinilla.</w:t>
      </w:r>
      <w:proofErr w:type="spellEnd"/>
    </w:p>
    <w:p w14:paraId="01195435" w14:textId="77777777" w:rsid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Estatuto Integral del Defensor de Familia, página 18.</w:t>
      </w:r>
    </w:p>
    <w:p w14:paraId="791DF26B" w14:textId="77777777" w:rsid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Consejo de Estado, Sala de Consulta y Servido Civil, C.P. William Zambrano Cetina, 2 de marzo de 2012, rad, 11001-03-06-000-2012-00010-00</w:t>
      </w:r>
    </w:p>
    <w:p w14:paraId="531E20A0" w14:textId="69804683" w:rsidR="00A40887" w:rsidRPr="00A40887" w:rsidRDefault="00A40887" w:rsidP="00A40887">
      <w:pPr>
        <w:pStyle w:val="Prrafodelista"/>
        <w:numPr>
          <w:ilvl w:val="0"/>
          <w:numId w:val="26"/>
        </w:numPr>
        <w:spacing w:line="276" w:lineRule="auto"/>
        <w:jc w:val="both"/>
        <w:rPr>
          <w:rFonts w:ascii="Verdana" w:hAnsi="Verdana"/>
          <w:sz w:val="22"/>
          <w:szCs w:val="22"/>
        </w:rPr>
      </w:pPr>
      <w:r w:rsidRPr="00A40887">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da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M.P. Antonio Barrera Carbonel.</w:t>
      </w:r>
    </w:p>
    <w:p w14:paraId="4D77D58F" w14:textId="1C0DDEC6" w:rsidR="008161D5" w:rsidRPr="00A40887" w:rsidRDefault="008161D5" w:rsidP="00F32F74">
      <w:pPr>
        <w:spacing w:line="276" w:lineRule="auto"/>
        <w:jc w:val="both"/>
        <w:rPr>
          <w:rFonts w:ascii="Verdana" w:hAnsi="Verdana"/>
          <w:sz w:val="22"/>
          <w:szCs w:val="22"/>
          <w:lang w:val="es-ES"/>
        </w:rPr>
      </w:pPr>
    </w:p>
    <w:sectPr w:rsidR="008161D5" w:rsidRPr="00A40887"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14"/>
  </w:num>
  <w:num w:numId="3" w16cid:durableId="1094323177">
    <w:abstractNumId w:val="21"/>
  </w:num>
  <w:num w:numId="4" w16cid:durableId="1223904190">
    <w:abstractNumId w:val="25"/>
  </w:num>
  <w:num w:numId="5" w16cid:durableId="700787827">
    <w:abstractNumId w:val="22"/>
  </w:num>
  <w:num w:numId="6" w16cid:durableId="708604463">
    <w:abstractNumId w:val="13"/>
  </w:num>
  <w:num w:numId="7" w16cid:durableId="1036464083">
    <w:abstractNumId w:val="23"/>
  </w:num>
  <w:num w:numId="8" w16cid:durableId="1974091306">
    <w:abstractNumId w:val="0"/>
  </w:num>
  <w:num w:numId="9" w16cid:durableId="756711159">
    <w:abstractNumId w:val="9"/>
  </w:num>
  <w:num w:numId="10" w16cid:durableId="2140024232">
    <w:abstractNumId w:val="10"/>
  </w:num>
  <w:num w:numId="11" w16cid:durableId="748578350">
    <w:abstractNumId w:val="20"/>
  </w:num>
  <w:num w:numId="12" w16cid:durableId="202593356">
    <w:abstractNumId w:val="7"/>
  </w:num>
  <w:num w:numId="13" w16cid:durableId="565143295">
    <w:abstractNumId w:val="16"/>
  </w:num>
  <w:num w:numId="14" w16cid:durableId="646282511">
    <w:abstractNumId w:val="24"/>
  </w:num>
  <w:num w:numId="15" w16cid:durableId="1403874449">
    <w:abstractNumId w:val="18"/>
  </w:num>
  <w:num w:numId="16" w16cid:durableId="94600144">
    <w:abstractNumId w:val="6"/>
  </w:num>
  <w:num w:numId="17" w16cid:durableId="1793405570">
    <w:abstractNumId w:val="1"/>
  </w:num>
  <w:num w:numId="18" w16cid:durableId="955141426">
    <w:abstractNumId w:val="11"/>
  </w:num>
  <w:num w:numId="19" w16cid:durableId="840704667">
    <w:abstractNumId w:val="2"/>
  </w:num>
  <w:num w:numId="20" w16cid:durableId="407578416">
    <w:abstractNumId w:val="5"/>
  </w:num>
  <w:num w:numId="21" w16cid:durableId="1691759298">
    <w:abstractNumId w:val="8"/>
  </w:num>
  <w:num w:numId="22" w16cid:durableId="2044867475">
    <w:abstractNumId w:val="17"/>
  </w:num>
  <w:num w:numId="23" w16cid:durableId="884368567">
    <w:abstractNumId w:val="15"/>
  </w:num>
  <w:num w:numId="24" w16cid:durableId="21981315">
    <w:abstractNumId w:val="19"/>
  </w:num>
  <w:num w:numId="25" w16cid:durableId="2030140972">
    <w:abstractNumId w:val="12"/>
  </w:num>
  <w:num w:numId="26" w16cid:durableId="71416417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26D08"/>
    <w:rsid w:val="00046557"/>
    <w:rsid w:val="0007791F"/>
    <w:rsid w:val="000B6B07"/>
    <w:rsid w:val="000F1D1A"/>
    <w:rsid w:val="000F7E26"/>
    <w:rsid w:val="00104849"/>
    <w:rsid w:val="0010552A"/>
    <w:rsid w:val="00121DFD"/>
    <w:rsid w:val="00125916"/>
    <w:rsid w:val="00127D97"/>
    <w:rsid w:val="00146F83"/>
    <w:rsid w:val="00151E40"/>
    <w:rsid w:val="0017222D"/>
    <w:rsid w:val="00181D66"/>
    <w:rsid w:val="00186649"/>
    <w:rsid w:val="00190D82"/>
    <w:rsid w:val="001A21EC"/>
    <w:rsid w:val="001A3BD7"/>
    <w:rsid w:val="001B7C88"/>
    <w:rsid w:val="001C622F"/>
    <w:rsid w:val="001F1CE3"/>
    <w:rsid w:val="0020317C"/>
    <w:rsid w:val="00211563"/>
    <w:rsid w:val="0021626E"/>
    <w:rsid w:val="002204E3"/>
    <w:rsid w:val="00226C34"/>
    <w:rsid w:val="002408CF"/>
    <w:rsid w:val="00243CB4"/>
    <w:rsid w:val="002523A2"/>
    <w:rsid w:val="00266ECF"/>
    <w:rsid w:val="002A4DBF"/>
    <w:rsid w:val="003071DE"/>
    <w:rsid w:val="003131C4"/>
    <w:rsid w:val="0031528F"/>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56F3D"/>
    <w:rsid w:val="005811A8"/>
    <w:rsid w:val="00582BFF"/>
    <w:rsid w:val="00592A16"/>
    <w:rsid w:val="005962EC"/>
    <w:rsid w:val="005B13FA"/>
    <w:rsid w:val="005B3F6A"/>
    <w:rsid w:val="005C02FA"/>
    <w:rsid w:val="005C1334"/>
    <w:rsid w:val="005C27DE"/>
    <w:rsid w:val="005D3ED4"/>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C0F3C"/>
    <w:rsid w:val="007C6955"/>
    <w:rsid w:val="007D166B"/>
    <w:rsid w:val="007D5988"/>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D4C9B"/>
    <w:rsid w:val="009D5E64"/>
    <w:rsid w:val="009D6ED5"/>
    <w:rsid w:val="009E3B0B"/>
    <w:rsid w:val="00A010FA"/>
    <w:rsid w:val="00A1618E"/>
    <w:rsid w:val="00A25596"/>
    <w:rsid w:val="00A40887"/>
    <w:rsid w:val="00A41641"/>
    <w:rsid w:val="00A67021"/>
    <w:rsid w:val="00A674FF"/>
    <w:rsid w:val="00A724C4"/>
    <w:rsid w:val="00A72C94"/>
    <w:rsid w:val="00AD442C"/>
    <w:rsid w:val="00AE7F95"/>
    <w:rsid w:val="00B26934"/>
    <w:rsid w:val="00B31D81"/>
    <w:rsid w:val="00B330EA"/>
    <w:rsid w:val="00B33194"/>
    <w:rsid w:val="00B478E2"/>
    <w:rsid w:val="00B52E0B"/>
    <w:rsid w:val="00BA5A6E"/>
    <w:rsid w:val="00BC67A6"/>
    <w:rsid w:val="00BD1227"/>
    <w:rsid w:val="00BD2A76"/>
    <w:rsid w:val="00BF0383"/>
    <w:rsid w:val="00C13107"/>
    <w:rsid w:val="00C21886"/>
    <w:rsid w:val="00C2785B"/>
    <w:rsid w:val="00C60F44"/>
    <w:rsid w:val="00C632C9"/>
    <w:rsid w:val="00C64EF6"/>
    <w:rsid w:val="00CA438C"/>
    <w:rsid w:val="00CD6DC4"/>
    <w:rsid w:val="00CE7663"/>
    <w:rsid w:val="00D03B71"/>
    <w:rsid w:val="00D3170D"/>
    <w:rsid w:val="00D40E92"/>
    <w:rsid w:val="00D6102A"/>
    <w:rsid w:val="00D61345"/>
    <w:rsid w:val="00D61853"/>
    <w:rsid w:val="00D6673C"/>
    <w:rsid w:val="00D96A0B"/>
    <w:rsid w:val="00DA022A"/>
    <w:rsid w:val="00DB49A0"/>
    <w:rsid w:val="00E56025"/>
    <w:rsid w:val="00E56719"/>
    <w:rsid w:val="00E60092"/>
    <w:rsid w:val="00E61C80"/>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B2502"/>
    <w:rsid w:val="00FD46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195</TotalTime>
  <Pages>10</Pages>
  <Words>3376</Words>
  <Characters>18570</Characters>
  <Application>Microsoft Office Word</Application>
  <DocSecurity>0</DocSecurity>
  <Lines>154</Lines>
  <Paragraphs>43</Paragraphs>
  <ScaleCrop>false</ScaleCrop>
  <Company/>
  <LinksUpToDate>false</LinksUpToDate>
  <CharactersWithSpaces>21903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126</cp:revision>
  <dcterms:created xsi:type="dcterms:W3CDTF">2026-05-08T19:08:00Z</dcterms:created>
  <dcterms:modified xsi:type="dcterms:W3CDTF">2026-07-14T20:42:00Z</dcterms:modified>
</cp:coreProperties>
</file>