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8F5F" w14:textId="77777777" w:rsidR="00F11C62" w:rsidRPr="002E52F1" w:rsidRDefault="00F11C62" w:rsidP="002E52F1">
      <w:pPr>
        <w:jc w:val="center"/>
        <w:rPr>
          <w:rFonts w:ascii="Verdana" w:hAnsi="Verdana"/>
          <w:sz w:val="22"/>
          <w:szCs w:val="22"/>
        </w:rPr>
      </w:pPr>
      <w:r w:rsidRPr="002E52F1">
        <w:rPr>
          <w:rFonts w:ascii="Verdana" w:hAnsi="Verdana"/>
          <w:b/>
          <w:bCs/>
          <w:sz w:val="22"/>
          <w:szCs w:val="22"/>
        </w:rPr>
        <w:t>CONCEPTO 54 DE 2016</w:t>
      </w:r>
    </w:p>
    <w:p w14:paraId="4DFEDA12" w14:textId="77777777" w:rsidR="00F11C62" w:rsidRPr="002E52F1" w:rsidRDefault="00F11C62" w:rsidP="002E52F1">
      <w:pPr>
        <w:jc w:val="center"/>
        <w:rPr>
          <w:rFonts w:ascii="Verdana" w:hAnsi="Verdana"/>
          <w:sz w:val="22"/>
          <w:szCs w:val="22"/>
        </w:rPr>
      </w:pPr>
      <w:r w:rsidRPr="002E52F1">
        <w:rPr>
          <w:rFonts w:ascii="Verdana" w:hAnsi="Verdana"/>
          <w:sz w:val="22"/>
          <w:szCs w:val="22"/>
        </w:rPr>
        <w:t>(junio 2)</w:t>
      </w:r>
    </w:p>
    <w:p w14:paraId="49915587" w14:textId="77777777" w:rsidR="00F11C62" w:rsidRPr="002E52F1" w:rsidRDefault="00F11C62" w:rsidP="002E52F1">
      <w:pPr>
        <w:jc w:val="center"/>
        <w:rPr>
          <w:rFonts w:ascii="Verdana" w:hAnsi="Verdana"/>
          <w:sz w:val="22"/>
          <w:szCs w:val="22"/>
        </w:rPr>
      </w:pPr>
      <w:r w:rsidRPr="002E52F1">
        <w:rPr>
          <w:rFonts w:ascii="Verdana" w:hAnsi="Verdana"/>
          <w:b/>
          <w:bCs/>
          <w:sz w:val="22"/>
          <w:szCs w:val="22"/>
        </w:rPr>
        <w:t>INSTITUTO COLOMBIANO DE BIENESTAR FAMILIAR</w:t>
      </w:r>
    </w:p>
    <w:p w14:paraId="6F5F3956" w14:textId="77777777" w:rsidR="002E52F1" w:rsidRDefault="002E52F1" w:rsidP="002E52F1">
      <w:pPr>
        <w:jc w:val="both"/>
        <w:rPr>
          <w:rFonts w:ascii="Verdana" w:hAnsi="Verdana"/>
          <w:sz w:val="22"/>
          <w:szCs w:val="22"/>
        </w:rPr>
      </w:pPr>
    </w:p>
    <w:p w14:paraId="071B7D50" w14:textId="7F68B7C7" w:rsidR="00F11C62" w:rsidRPr="002E52F1" w:rsidRDefault="00F11C62" w:rsidP="002E52F1">
      <w:pPr>
        <w:jc w:val="both"/>
        <w:rPr>
          <w:rFonts w:ascii="Verdana" w:hAnsi="Verdana"/>
          <w:sz w:val="22"/>
          <w:szCs w:val="22"/>
        </w:rPr>
      </w:pPr>
      <w:r w:rsidRPr="002E52F1">
        <w:rPr>
          <w:rFonts w:ascii="Verdana" w:hAnsi="Verdana"/>
          <w:b/>
          <w:bCs/>
          <w:sz w:val="22"/>
          <w:szCs w:val="22"/>
        </w:rPr>
        <w:t>ASUNTO:</w:t>
      </w:r>
      <w:r w:rsidRPr="002E52F1">
        <w:rPr>
          <w:rFonts w:ascii="Verdana" w:hAnsi="Verdana"/>
          <w:sz w:val="22"/>
          <w:szCs w:val="22"/>
        </w:rPr>
        <w:t xml:space="preserve"> Solicitud de concepto </w:t>
      </w:r>
      <w:proofErr w:type="gramStart"/>
      <w:r w:rsidRPr="002E52F1">
        <w:rPr>
          <w:rFonts w:ascii="Verdana" w:hAnsi="Verdana"/>
          <w:sz w:val="22"/>
          <w:szCs w:val="22"/>
        </w:rPr>
        <w:t>de acuerdo a</w:t>
      </w:r>
      <w:proofErr w:type="gramEnd"/>
      <w:r w:rsidRPr="002E52F1">
        <w:rPr>
          <w:rFonts w:ascii="Verdana" w:hAnsi="Verdana"/>
          <w:sz w:val="22"/>
          <w:szCs w:val="22"/>
        </w:rPr>
        <w:t xml:space="preserve"> radicado en el ICBF No 230000 del 19 de mayo de 2016.</w:t>
      </w:r>
    </w:p>
    <w:p w14:paraId="44A32B99" w14:textId="57355FD3" w:rsidR="00F11C62" w:rsidRPr="002E52F1" w:rsidRDefault="00F11C62" w:rsidP="002E52F1">
      <w:pPr>
        <w:jc w:val="both"/>
        <w:rPr>
          <w:rFonts w:ascii="Verdana" w:hAnsi="Verdana"/>
          <w:sz w:val="22"/>
          <w:szCs w:val="22"/>
        </w:rPr>
      </w:pPr>
      <w:r w:rsidRPr="002E52F1">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42CC55A3" w14:textId="03F8DA9A" w:rsidR="00F11C62" w:rsidRPr="002E52F1" w:rsidRDefault="00F11C62" w:rsidP="002E52F1">
      <w:pPr>
        <w:pStyle w:val="Prrafodelista"/>
        <w:numPr>
          <w:ilvl w:val="0"/>
          <w:numId w:val="4"/>
        </w:numPr>
        <w:jc w:val="both"/>
        <w:rPr>
          <w:rFonts w:ascii="Verdana" w:hAnsi="Verdana"/>
          <w:sz w:val="22"/>
          <w:szCs w:val="22"/>
        </w:rPr>
      </w:pPr>
      <w:r w:rsidRPr="002E52F1">
        <w:rPr>
          <w:rFonts w:ascii="Verdana" w:hAnsi="Verdana"/>
          <w:b/>
          <w:bCs/>
          <w:sz w:val="22"/>
          <w:szCs w:val="22"/>
          <w:u w:val="single"/>
        </w:rPr>
        <w:t>PROBLEMA JURÍDICO</w:t>
      </w:r>
    </w:p>
    <w:p w14:paraId="33FE2BE0" w14:textId="77777777" w:rsidR="00F11C62" w:rsidRPr="002E52F1" w:rsidRDefault="00F11C62" w:rsidP="002E52F1">
      <w:pPr>
        <w:jc w:val="both"/>
        <w:rPr>
          <w:rFonts w:ascii="Verdana" w:hAnsi="Verdana"/>
          <w:sz w:val="22"/>
          <w:szCs w:val="22"/>
        </w:rPr>
      </w:pPr>
      <w:r w:rsidRPr="002E52F1">
        <w:rPr>
          <w:rFonts w:ascii="Verdana" w:hAnsi="Verdana"/>
          <w:sz w:val="22"/>
          <w:szCs w:val="22"/>
        </w:rPr>
        <w:t>¿Cuáles son las funciones de las Comisarias de Familia en aras de garantizar la prevalencia dé derechos de los niños, niñas y adolescentes?</w:t>
      </w:r>
    </w:p>
    <w:p w14:paraId="38E60C2A" w14:textId="61CDC699" w:rsidR="00F11C62" w:rsidRPr="002E52F1" w:rsidRDefault="00F11C62" w:rsidP="002E52F1">
      <w:pPr>
        <w:pStyle w:val="Prrafodelista"/>
        <w:numPr>
          <w:ilvl w:val="0"/>
          <w:numId w:val="4"/>
        </w:numPr>
        <w:jc w:val="both"/>
        <w:rPr>
          <w:rFonts w:ascii="Verdana" w:hAnsi="Verdana"/>
          <w:sz w:val="22"/>
          <w:szCs w:val="22"/>
        </w:rPr>
      </w:pPr>
      <w:r w:rsidRPr="002E52F1">
        <w:rPr>
          <w:rFonts w:ascii="Verdana" w:hAnsi="Verdana"/>
          <w:b/>
          <w:bCs/>
          <w:sz w:val="22"/>
          <w:szCs w:val="22"/>
          <w:u w:val="single"/>
        </w:rPr>
        <w:t>ANALISIS DEL PROBLEMA JURIDICO</w:t>
      </w:r>
    </w:p>
    <w:p w14:paraId="6C6D6E4A" w14:textId="77777777" w:rsidR="00F11C62" w:rsidRPr="002E52F1" w:rsidRDefault="00F11C62" w:rsidP="002E52F1">
      <w:pPr>
        <w:jc w:val="both"/>
        <w:rPr>
          <w:rFonts w:ascii="Verdana" w:hAnsi="Verdana"/>
          <w:sz w:val="22"/>
          <w:szCs w:val="22"/>
        </w:rPr>
      </w:pPr>
      <w:r w:rsidRPr="002E52F1">
        <w:rPr>
          <w:rFonts w:ascii="Verdana" w:hAnsi="Verdana"/>
          <w:sz w:val="22"/>
          <w:szCs w:val="22"/>
        </w:rPr>
        <w:t>Se abordará el tema analizando: (2.1) Naturaleza y funciones de las Comisarías de Familia, y (2.2) de la competencia subsidiaria de las Comisarias de Familia.</w:t>
      </w:r>
    </w:p>
    <w:p w14:paraId="3D2CEE37" w14:textId="44E4DCB3" w:rsidR="00F11C62" w:rsidRPr="002E52F1" w:rsidRDefault="00F11C62" w:rsidP="002E52F1">
      <w:pPr>
        <w:pStyle w:val="Prrafodelista"/>
        <w:numPr>
          <w:ilvl w:val="1"/>
          <w:numId w:val="4"/>
        </w:numPr>
        <w:jc w:val="both"/>
        <w:rPr>
          <w:rFonts w:ascii="Verdana" w:hAnsi="Verdana"/>
          <w:sz w:val="22"/>
          <w:szCs w:val="22"/>
        </w:rPr>
      </w:pPr>
      <w:r w:rsidRPr="002E52F1">
        <w:rPr>
          <w:rFonts w:ascii="Verdana" w:hAnsi="Verdana"/>
          <w:b/>
          <w:bCs/>
          <w:sz w:val="22"/>
          <w:szCs w:val="22"/>
          <w:u w:val="single"/>
        </w:rPr>
        <w:t>Naturaleza y funciones en las Comisarías de Familia</w:t>
      </w:r>
    </w:p>
    <w:p w14:paraId="7FBB8C05" w14:textId="77777777" w:rsidR="00F11C62" w:rsidRPr="002E52F1" w:rsidRDefault="00F11C62" w:rsidP="002E52F1">
      <w:pPr>
        <w:jc w:val="both"/>
        <w:rPr>
          <w:rFonts w:ascii="Verdana" w:hAnsi="Verdana"/>
          <w:sz w:val="22"/>
          <w:szCs w:val="22"/>
        </w:rPr>
      </w:pPr>
      <w:r w:rsidRPr="002E52F1">
        <w:rPr>
          <w:rFonts w:ascii="Verdana" w:hAnsi="Verdana"/>
          <w:sz w:val="22"/>
          <w:szCs w:val="22"/>
        </w:rPr>
        <w:t>Las Comisarías de Familia fueron creadas por el Decreto 2737 de 1989,</w:t>
      </w:r>
      <w:r w:rsidRPr="002E52F1">
        <w:rPr>
          <w:rFonts w:ascii="Verdana" w:hAnsi="Verdana"/>
          <w:sz w:val="22"/>
          <w:szCs w:val="22"/>
          <w:vertAlign w:val="subscript"/>
        </w:rPr>
        <w:t>[1]</w:t>
      </w:r>
      <w:r w:rsidRPr="002E52F1">
        <w:rPr>
          <w:rFonts w:ascii="Verdana" w:hAnsi="Verdana"/>
          <w:sz w:val="22"/>
          <w:szCs w:val="22"/>
        </w:rPr>
        <w:t>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58F78610" w14:textId="18EE01C7" w:rsidR="00F11C62" w:rsidRPr="002E52F1" w:rsidRDefault="00F11C62" w:rsidP="002E52F1">
      <w:pPr>
        <w:jc w:val="both"/>
        <w:rPr>
          <w:rFonts w:ascii="Verdana" w:hAnsi="Verdana"/>
          <w:sz w:val="22"/>
          <w:szCs w:val="22"/>
        </w:rPr>
      </w:pPr>
      <w:r w:rsidRPr="002E52F1">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lo dispuesto en los numerales 1,4 y 5 del Artículo 86 de la Ley 1098 de 2006 y Decreto 1069 de 2015 (Decreto único reglamentario del sector justicia y del derecho).</w:t>
      </w:r>
    </w:p>
    <w:p w14:paraId="2ADF0388" w14:textId="33F87F27" w:rsidR="00F11C62" w:rsidRPr="002E52F1" w:rsidRDefault="00F11C62" w:rsidP="002E52F1">
      <w:pPr>
        <w:jc w:val="both"/>
        <w:rPr>
          <w:rFonts w:ascii="Verdana" w:hAnsi="Verdana"/>
          <w:sz w:val="22"/>
          <w:szCs w:val="22"/>
        </w:rPr>
      </w:pPr>
      <w:r w:rsidRPr="002E52F1">
        <w:rPr>
          <w:rFonts w:ascii="Verdana" w:hAnsi="Verdana"/>
          <w:sz w:val="22"/>
          <w:szCs w:val="22"/>
        </w:rPr>
        <w:t xml:space="preserve">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arts. 106 y 190 de la Ley 1098 de 2006 y Código General del Proceso y </w:t>
      </w:r>
      <w:proofErr w:type="gramStart"/>
      <w:r w:rsidRPr="002E52F1">
        <w:rPr>
          <w:rFonts w:ascii="Verdana" w:hAnsi="Verdana"/>
          <w:sz w:val="22"/>
          <w:szCs w:val="22"/>
        </w:rPr>
        <w:t>de acuerdo a</w:t>
      </w:r>
      <w:proofErr w:type="gramEnd"/>
      <w:r w:rsidRPr="002E52F1">
        <w:rPr>
          <w:rFonts w:ascii="Verdana" w:hAnsi="Verdana"/>
          <w:sz w:val="22"/>
          <w:szCs w:val="22"/>
        </w:rPr>
        <w:t xml:space="preserve"> las funciones o </w:t>
      </w:r>
      <w:r w:rsidRPr="002E52F1">
        <w:rPr>
          <w:rFonts w:ascii="Verdana" w:hAnsi="Verdana"/>
          <w:sz w:val="22"/>
          <w:szCs w:val="22"/>
        </w:rPr>
        <w:lastRenderedPageBreak/>
        <w:t>a las competencias que en cada caso particular le asignen los Concejos municipales o distritales.</w:t>
      </w:r>
    </w:p>
    <w:p w14:paraId="48974B94" w14:textId="07623E86" w:rsidR="00F11C62" w:rsidRPr="002E52F1" w:rsidRDefault="00F11C62" w:rsidP="002E52F1">
      <w:pPr>
        <w:jc w:val="both"/>
        <w:rPr>
          <w:rFonts w:ascii="Verdana" w:hAnsi="Verdana"/>
          <w:sz w:val="22"/>
          <w:szCs w:val="22"/>
        </w:rPr>
      </w:pPr>
      <w:r w:rsidRPr="002E52F1">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la Infancia y la Adolescencia, en concordancia con lo dispuesto en el Decreto 1069 de 2015.</w:t>
      </w:r>
    </w:p>
    <w:p w14:paraId="6F3B3811" w14:textId="2229EB47" w:rsidR="00F11C62" w:rsidRPr="002E52F1" w:rsidRDefault="00F11C62" w:rsidP="002E52F1">
      <w:pPr>
        <w:jc w:val="both"/>
        <w:rPr>
          <w:rFonts w:ascii="Verdana" w:hAnsi="Verdana"/>
          <w:sz w:val="22"/>
          <w:szCs w:val="22"/>
        </w:rPr>
      </w:pPr>
      <w:r w:rsidRPr="002E52F1">
        <w:rPr>
          <w:rFonts w:ascii="Verdana" w:hAnsi="Verdana"/>
          <w:sz w:val="22"/>
          <w:szCs w:val="22"/>
        </w:rPr>
        <w:t>La Ley 1098 de 2006</w:t>
      </w:r>
      <w:r w:rsidRPr="002E52F1">
        <w:rPr>
          <w:rFonts w:ascii="Verdana" w:hAnsi="Verdana"/>
          <w:sz w:val="22"/>
          <w:szCs w:val="22"/>
          <w:vertAlign w:val="subscript"/>
        </w:rPr>
        <w:t>[2]</w:t>
      </w:r>
      <w:r w:rsidRPr="002E52F1">
        <w:rPr>
          <w:rFonts w:ascii="Verdana" w:hAnsi="Verdana"/>
          <w:sz w:val="22"/>
          <w:szCs w:val="22"/>
        </w:rPr>
        <w:t> determinó que las Comisarías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4DE2D312" w14:textId="3C23039E" w:rsidR="00F11C62" w:rsidRPr="002E52F1" w:rsidRDefault="00F11C62" w:rsidP="002E52F1">
      <w:pPr>
        <w:pStyle w:val="Prrafodelista"/>
        <w:numPr>
          <w:ilvl w:val="1"/>
          <w:numId w:val="4"/>
        </w:numPr>
        <w:jc w:val="both"/>
        <w:rPr>
          <w:rFonts w:ascii="Verdana" w:hAnsi="Verdana"/>
          <w:sz w:val="22"/>
          <w:szCs w:val="22"/>
        </w:rPr>
      </w:pPr>
      <w:r w:rsidRPr="002E52F1">
        <w:rPr>
          <w:rFonts w:ascii="Verdana" w:hAnsi="Verdana"/>
          <w:b/>
          <w:bCs/>
          <w:sz w:val="22"/>
          <w:szCs w:val="22"/>
          <w:u w:val="single"/>
        </w:rPr>
        <w:t>De la Competencia Subsidiaria para las Comisarias de Familia</w:t>
      </w:r>
    </w:p>
    <w:p w14:paraId="11C82CCA" w14:textId="0CF32771" w:rsidR="00F11C62" w:rsidRPr="002E52F1" w:rsidRDefault="00F11C62" w:rsidP="002E52F1">
      <w:pPr>
        <w:jc w:val="both"/>
        <w:rPr>
          <w:rFonts w:ascii="Verdana" w:hAnsi="Verdana"/>
          <w:sz w:val="22"/>
          <w:szCs w:val="22"/>
        </w:rPr>
      </w:pPr>
      <w:r w:rsidRPr="002E52F1">
        <w:rPr>
          <w:rFonts w:ascii="Verdana" w:hAnsi="Verdana"/>
          <w:sz w:val="22"/>
          <w:szCs w:val="22"/>
        </w:rPr>
        <w:t>Antes de la expedición de la Ley 1098 de 2006, la función de representación judicial era exclusiva del Defensor de Familia, pero a raíz de la llamada "Competencia Subsidiaria", de manera automática se trasladó esta función al Comisario de Familia, pues el artículo 98 de la Ley 1098 de 2006 estableció expresamente que en los municipios en donde no haya Defensor de Familia, las funciones de éste estarán en cabeza del Comisario de Familia; en ausencia de este último, las funciones asignadas al Defensor y al Comisario de Familia corresponderán al Inspector de Policía.</w:t>
      </w:r>
    </w:p>
    <w:p w14:paraId="476AED4A" w14:textId="058C13D0" w:rsidR="00F11C62" w:rsidRPr="002E52F1" w:rsidRDefault="00F11C62" w:rsidP="002E52F1">
      <w:pPr>
        <w:jc w:val="both"/>
        <w:rPr>
          <w:rFonts w:ascii="Verdana" w:hAnsi="Verdana"/>
          <w:sz w:val="22"/>
          <w:szCs w:val="22"/>
        </w:rPr>
      </w:pPr>
      <w:r w:rsidRPr="002E52F1">
        <w:rPr>
          <w:rFonts w:ascii="Verdana" w:hAnsi="Verdana"/>
          <w:sz w:val="22"/>
          <w:szCs w:val="22"/>
        </w:rPr>
        <w:t>El Legislador consagró en los artículos 97 y 98 del Código de la Infancia y la Adolescencia unas reglas por razón del territorio y por razón de la subsidiariedad con el fin de determinar la competencia de las autoridades administrativas para conocer de los casos donde se esté amenazando o vulnerando los derechos de los niños, las niñas y los adolescentes.</w:t>
      </w:r>
    </w:p>
    <w:p w14:paraId="6C1E1AA7" w14:textId="77777777" w:rsidR="00F11C62" w:rsidRPr="002E52F1" w:rsidRDefault="00F11C62" w:rsidP="002E52F1">
      <w:pPr>
        <w:jc w:val="both"/>
        <w:rPr>
          <w:rFonts w:ascii="Verdana" w:hAnsi="Verdana"/>
          <w:sz w:val="22"/>
          <w:szCs w:val="22"/>
        </w:rPr>
      </w:pPr>
      <w:r w:rsidRPr="002E52F1">
        <w:rPr>
          <w:rFonts w:ascii="Verdana" w:hAnsi="Verdana"/>
          <w:sz w:val="22"/>
          <w:szCs w:val="22"/>
        </w:rPr>
        <w:t xml:space="preserve">En ese sentido, la competencia que se le otorga al Comisario de Familia de asumir las funciones del Defensor de Familia es de carácter supletorio, en el entendido </w:t>
      </w:r>
      <w:proofErr w:type="gramStart"/>
      <w:r w:rsidRPr="002E52F1">
        <w:rPr>
          <w:rFonts w:ascii="Verdana" w:hAnsi="Verdana"/>
          <w:sz w:val="22"/>
          <w:szCs w:val="22"/>
        </w:rPr>
        <w:t>que</w:t>
      </w:r>
      <w:proofErr w:type="gramEnd"/>
      <w:r w:rsidRPr="002E52F1">
        <w:rPr>
          <w:rFonts w:ascii="Verdana" w:hAnsi="Verdana"/>
          <w:sz w:val="22"/>
          <w:szCs w:val="22"/>
        </w:rPr>
        <w:t xml:space="preserve"> en ausencia de éste, es la autoridad administrativa mejor capacitada para asumir dicha labor.</w:t>
      </w:r>
    </w:p>
    <w:p w14:paraId="59F172A6" w14:textId="4336354B" w:rsidR="00F11C62" w:rsidRPr="002E52F1" w:rsidRDefault="00F11C62" w:rsidP="002E52F1">
      <w:pPr>
        <w:jc w:val="both"/>
        <w:rPr>
          <w:rFonts w:ascii="Verdana" w:hAnsi="Verdana"/>
          <w:sz w:val="22"/>
          <w:szCs w:val="22"/>
        </w:rPr>
      </w:pPr>
      <w:r w:rsidRPr="002E52F1">
        <w:rPr>
          <w:rFonts w:ascii="Verdana" w:hAnsi="Verdana"/>
          <w:sz w:val="22"/>
          <w:szCs w:val="22"/>
        </w:rPr>
        <w:t>El Decreto 4840 del 17 de diciembre de 2007,</w:t>
      </w:r>
      <w:r w:rsidRPr="002E52F1">
        <w:rPr>
          <w:rFonts w:ascii="Verdana" w:hAnsi="Verdana"/>
          <w:sz w:val="22"/>
          <w:szCs w:val="22"/>
          <w:vertAlign w:val="subscript"/>
        </w:rPr>
        <w:t>[3]</w:t>
      </w:r>
      <w:r w:rsidRPr="002E52F1">
        <w:rPr>
          <w:rFonts w:ascii="Verdana" w:hAnsi="Verdana"/>
          <w:sz w:val="22"/>
          <w:szCs w:val="22"/>
        </w:rPr>
        <w:t> incorporado al Decreto 1069 de 2015,</w:t>
      </w:r>
      <w:r w:rsidRPr="002E52F1">
        <w:rPr>
          <w:rFonts w:ascii="Verdana" w:hAnsi="Verdana"/>
          <w:sz w:val="22"/>
          <w:szCs w:val="22"/>
          <w:vertAlign w:val="subscript"/>
        </w:rPr>
        <w:t>[4]</w:t>
      </w:r>
      <w:r w:rsidRPr="002E52F1">
        <w:rPr>
          <w:rFonts w:ascii="Verdana" w:hAnsi="Verdana"/>
          <w:sz w:val="22"/>
          <w:szCs w:val="22"/>
        </w:rPr>
        <w:t> regula lo relacionado con la competencia subsidiaria prevista en el artículo 98 de la Ley 1098 de 2006,</w:t>
      </w:r>
    </w:p>
    <w:p w14:paraId="1EC83F6C" w14:textId="634CA25D" w:rsidR="00F11C62" w:rsidRPr="002E52F1" w:rsidRDefault="00F11C62" w:rsidP="002E52F1">
      <w:pPr>
        <w:jc w:val="both"/>
        <w:rPr>
          <w:rFonts w:ascii="Verdana" w:hAnsi="Verdana"/>
          <w:sz w:val="22"/>
          <w:szCs w:val="22"/>
        </w:rPr>
      </w:pPr>
      <w:r w:rsidRPr="002E52F1">
        <w:rPr>
          <w:rFonts w:ascii="Verdana" w:hAnsi="Verdana"/>
          <w:i/>
          <w:iCs/>
          <w:sz w:val="22"/>
          <w:szCs w:val="22"/>
        </w:rPr>
        <w:t xml:space="preserve">"Parágrafo 2o. Para efectos de la competencia subsidiaria prevista en el artículo 98 de la Ley 1098 de 2006, se entenderá que en un municipio no hay Defensor de Familia cuando el respectivo Centro Zonal del Instituto Colombiano </w:t>
      </w:r>
      <w:r w:rsidRPr="002E52F1">
        <w:rPr>
          <w:rFonts w:ascii="Verdana" w:hAnsi="Verdana"/>
          <w:i/>
          <w:iCs/>
          <w:sz w:val="22"/>
          <w:szCs w:val="22"/>
        </w:rPr>
        <w:lastRenderedPageBreak/>
        <w:t>de Bienestar Familiar no hubiere designado</w:t>
      </w:r>
      <w:r w:rsidRPr="002E52F1">
        <w:rPr>
          <w:rFonts w:ascii="Verdana" w:hAnsi="Verdana"/>
          <w:sz w:val="22"/>
          <w:szCs w:val="22"/>
        </w:rPr>
        <w:t> </w:t>
      </w:r>
      <w:r w:rsidRPr="002E52F1">
        <w:rPr>
          <w:rFonts w:ascii="Verdana" w:hAnsi="Verdana"/>
          <w:i/>
          <w:iCs/>
          <w:sz w:val="22"/>
          <w:szCs w:val="22"/>
        </w:rPr>
        <w:t>un Defensor de Familia para su atención o hasta tanto el Defensor de Familia designado no esté desempeñando sus funciones de manera permanente y continua.</w:t>
      </w:r>
    </w:p>
    <w:p w14:paraId="0335C20B" w14:textId="77777777" w:rsidR="00F11C62" w:rsidRPr="002E52F1" w:rsidRDefault="00F11C62" w:rsidP="002E52F1">
      <w:pPr>
        <w:jc w:val="both"/>
        <w:rPr>
          <w:rFonts w:ascii="Verdana" w:hAnsi="Verdana"/>
          <w:sz w:val="22"/>
          <w:szCs w:val="22"/>
        </w:rPr>
      </w:pPr>
      <w:r w:rsidRPr="002E52F1">
        <w:rPr>
          <w:rFonts w:ascii="Verdana" w:hAnsi="Verdana"/>
          <w:i/>
          <w:iCs/>
          <w:sz w:val="22"/>
          <w:szCs w:val="22"/>
        </w:rPr>
        <w:t>Se entenderá que no hay Comisario de Familia en los municipios en los cuales no ha sido designado el funcionario o cuando no opere una Comisaría Intermunicipal para la jurisdicción territorial correspondiente, o hasta tanto el Comisario de Familia Municipal o Intermunicipal no esté desempeñando sus funciones de manera permanente y continua.</w:t>
      </w:r>
    </w:p>
    <w:p w14:paraId="4061CF20" w14:textId="24C266E2" w:rsidR="00F11C62" w:rsidRPr="002E52F1" w:rsidRDefault="00F11C62" w:rsidP="002E52F1">
      <w:pPr>
        <w:jc w:val="both"/>
        <w:rPr>
          <w:rFonts w:ascii="Verdana" w:hAnsi="Verdana"/>
          <w:sz w:val="22"/>
          <w:szCs w:val="22"/>
        </w:rPr>
      </w:pPr>
      <w:r w:rsidRPr="002E52F1">
        <w:rPr>
          <w:rFonts w:ascii="Verdana" w:hAnsi="Verdana"/>
          <w:i/>
          <w:iCs/>
          <w:sz w:val="22"/>
          <w:szCs w:val="22"/>
        </w:rPr>
        <w:t>La competencia subsidiaria del Inspector de Policía en todo caso será de carácter temporal hasta la creación de la Comisaría de Familia en la respectiva entidad territorial, lo cual no impide que en todo tiempo deba dar cumplimiento a la obligación contenida en el artículo 51 de la Ley 1098 de 2006.</w:t>
      </w:r>
    </w:p>
    <w:p w14:paraId="0353E223" w14:textId="77777777" w:rsidR="00F11C62" w:rsidRPr="002E52F1" w:rsidRDefault="00F11C62" w:rsidP="002E52F1">
      <w:pPr>
        <w:jc w:val="both"/>
        <w:rPr>
          <w:rFonts w:ascii="Verdana" w:hAnsi="Verdana"/>
          <w:sz w:val="22"/>
          <w:szCs w:val="22"/>
        </w:rPr>
      </w:pPr>
      <w:r w:rsidRPr="002E52F1">
        <w:rPr>
          <w:rFonts w:ascii="Verdana" w:hAnsi="Verdana"/>
          <w:i/>
          <w:iCs/>
          <w:sz w:val="22"/>
          <w:szCs w:val="22"/>
        </w:rPr>
        <w:t xml:space="preserve">La competencia subsidiaria del Comisario de Familia o Inspector de </w:t>
      </w:r>
      <w:proofErr w:type="gramStart"/>
      <w:r w:rsidRPr="002E52F1">
        <w:rPr>
          <w:rFonts w:ascii="Verdana" w:hAnsi="Verdana"/>
          <w:i/>
          <w:iCs/>
          <w:sz w:val="22"/>
          <w:szCs w:val="22"/>
        </w:rPr>
        <w:t>Policía,</w:t>
      </w:r>
      <w:proofErr w:type="gramEnd"/>
      <w:r w:rsidRPr="002E52F1">
        <w:rPr>
          <w:rFonts w:ascii="Verdana" w:hAnsi="Verdana"/>
          <w:i/>
          <w:iCs/>
          <w:sz w:val="22"/>
          <w:szCs w:val="22"/>
        </w:rPr>
        <w:t xml:space="preserve"> se entiende referida a las funciones que el Código de la Infancia y la Adolescencia otorga al Defensor de Familia y Comisario de Familia respectivamente, salvo la declaratoria de adoptabilidad que es competencia exclusiva del Defensor de Familia".</w:t>
      </w:r>
    </w:p>
    <w:p w14:paraId="44170539" w14:textId="72995EBB" w:rsidR="00F11C62" w:rsidRPr="002E52F1" w:rsidRDefault="00F11C62" w:rsidP="002E52F1">
      <w:pPr>
        <w:pStyle w:val="Prrafodelista"/>
        <w:numPr>
          <w:ilvl w:val="0"/>
          <w:numId w:val="4"/>
        </w:numPr>
        <w:jc w:val="both"/>
        <w:rPr>
          <w:rFonts w:ascii="Verdana" w:hAnsi="Verdana"/>
          <w:sz w:val="22"/>
          <w:szCs w:val="22"/>
        </w:rPr>
      </w:pPr>
      <w:r w:rsidRPr="002E52F1">
        <w:rPr>
          <w:rFonts w:ascii="Verdana" w:hAnsi="Verdana"/>
          <w:b/>
          <w:bCs/>
          <w:sz w:val="22"/>
          <w:szCs w:val="22"/>
        </w:rPr>
        <w:t>CONCLUSIONES</w:t>
      </w:r>
    </w:p>
    <w:p w14:paraId="42303181" w14:textId="77777777" w:rsidR="00F11C62" w:rsidRPr="002E52F1" w:rsidRDefault="00F11C62" w:rsidP="002E52F1">
      <w:pPr>
        <w:jc w:val="both"/>
        <w:rPr>
          <w:rFonts w:ascii="Verdana" w:hAnsi="Verdana"/>
          <w:sz w:val="22"/>
          <w:szCs w:val="22"/>
        </w:rPr>
      </w:pPr>
      <w:r w:rsidRPr="002E52F1">
        <w:rPr>
          <w:rFonts w:ascii="Verdana" w:hAnsi="Verdana"/>
          <w:sz w:val="22"/>
          <w:szCs w:val="22"/>
        </w:rPr>
        <w:t>Así las cosas y teniendo en cuenta las consideraciones de orden legal expuestas, se puede concluir lo siguiente:</w:t>
      </w:r>
    </w:p>
    <w:p w14:paraId="4DE7EB84" w14:textId="77777777" w:rsidR="00F11C62" w:rsidRPr="002E52F1" w:rsidRDefault="00F11C62" w:rsidP="002E52F1">
      <w:pPr>
        <w:jc w:val="both"/>
        <w:rPr>
          <w:rFonts w:ascii="Verdana" w:hAnsi="Verdana"/>
          <w:sz w:val="22"/>
          <w:szCs w:val="22"/>
        </w:rPr>
      </w:pPr>
      <w:r w:rsidRPr="002E52F1">
        <w:rPr>
          <w:rFonts w:ascii="Verdana" w:hAnsi="Verdana"/>
          <w:b/>
          <w:bCs/>
          <w:sz w:val="22"/>
          <w:szCs w:val="22"/>
        </w:rPr>
        <w:t>Primera</w:t>
      </w:r>
      <w:r w:rsidRPr="002E52F1">
        <w:rPr>
          <w:rFonts w:ascii="Verdana" w:hAnsi="Verdana"/>
          <w:sz w:val="22"/>
          <w:szCs w:val="22"/>
        </w:rPr>
        <w:t>: Las funciones que deben desempeñar las Comisarias de Familia están establecidas en la ley.</w:t>
      </w:r>
    </w:p>
    <w:p w14:paraId="554315FF" w14:textId="77777777" w:rsidR="00F11C62" w:rsidRPr="002E52F1" w:rsidRDefault="00F11C62" w:rsidP="002E52F1">
      <w:pPr>
        <w:jc w:val="both"/>
        <w:rPr>
          <w:rFonts w:ascii="Verdana" w:hAnsi="Verdana"/>
          <w:sz w:val="22"/>
          <w:szCs w:val="22"/>
        </w:rPr>
      </w:pPr>
      <w:r w:rsidRPr="002E52F1">
        <w:rPr>
          <w:rFonts w:ascii="Verdana" w:hAnsi="Verdana"/>
          <w:b/>
          <w:bCs/>
          <w:sz w:val="22"/>
          <w:szCs w:val="22"/>
        </w:rPr>
        <w:t>Segunda</w:t>
      </w:r>
      <w:r w:rsidRPr="002E52F1">
        <w:rPr>
          <w:rFonts w:ascii="Verdana" w:hAnsi="Verdana"/>
          <w:sz w:val="22"/>
          <w:szCs w:val="22"/>
        </w:rPr>
        <w:t>: Para el caso en concreto considera esta Oficina, que la Comisaria de Familia del municipio de Linares - Nariño, está cumpliendo con la función de competencia subsidiaria qué le corresponde, toda vez que según se puede verificar en el acta que se acompaña, asistió a la audiencia como garante de los derechos de los niños.</w:t>
      </w:r>
    </w:p>
    <w:p w14:paraId="09AFB8D3" w14:textId="77777777" w:rsidR="00F11C62" w:rsidRPr="002E52F1" w:rsidRDefault="00F11C62" w:rsidP="002E52F1">
      <w:pPr>
        <w:jc w:val="both"/>
        <w:rPr>
          <w:rFonts w:ascii="Verdana" w:hAnsi="Verdana"/>
          <w:sz w:val="22"/>
          <w:szCs w:val="22"/>
        </w:rPr>
      </w:pPr>
      <w:r w:rsidRPr="002E52F1">
        <w:rPr>
          <w:rFonts w:ascii="Verdana" w:hAnsi="Verdana"/>
          <w:sz w:val="22"/>
          <w:szCs w:val="22"/>
        </w:rPr>
        <w:t>Es importante resaltar que el hecho que no se haya presentado el Curador ad-</w:t>
      </w:r>
      <w:proofErr w:type="spellStart"/>
      <w:r w:rsidRPr="002E52F1">
        <w:rPr>
          <w:rFonts w:ascii="Verdana" w:hAnsi="Verdana"/>
          <w:sz w:val="22"/>
          <w:szCs w:val="22"/>
        </w:rPr>
        <w:t>lítem</w:t>
      </w:r>
      <w:proofErr w:type="spellEnd"/>
      <w:r w:rsidRPr="002E52F1">
        <w:rPr>
          <w:rFonts w:ascii="Verdana" w:hAnsi="Verdana"/>
          <w:sz w:val="22"/>
          <w:szCs w:val="22"/>
        </w:rPr>
        <w:t xml:space="preserve"> del demandado y la Personera Municipal, no es responsabilidad de la Comisaria Familia, como quiera que </w:t>
      </w:r>
      <w:proofErr w:type="gramStart"/>
      <w:r w:rsidRPr="002E52F1">
        <w:rPr>
          <w:rFonts w:ascii="Verdana" w:hAnsi="Verdana"/>
          <w:sz w:val="22"/>
          <w:szCs w:val="22"/>
        </w:rPr>
        <w:t>es</w:t>
      </w:r>
      <w:proofErr w:type="gramEnd"/>
      <w:r w:rsidRPr="002E52F1">
        <w:rPr>
          <w:rFonts w:ascii="Verdana" w:hAnsi="Verdana"/>
          <w:sz w:val="22"/>
          <w:szCs w:val="22"/>
        </w:rPr>
        <w:t xml:space="preserve"> obligación de las partes y de los intervinientes comparecer a las audiencias que programe el Juez, sin que pueda endilgársele dicha función a la Comisaria de Familia.</w:t>
      </w:r>
    </w:p>
    <w:p w14:paraId="35521A52" w14:textId="6336A79A" w:rsidR="00F11C62" w:rsidRPr="002E52F1" w:rsidRDefault="00F11C62" w:rsidP="002E52F1">
      <w:pPr>
        <w:jc w:val="both"/>
        <w:rPr>
          <w:rFonts w:ascii="Verdana" w:hAnsi="Verdana"/>
          <w:sz w:val="22"/>
          <w:szCs w:val="22"/>
        </w:rPr>
      </w:pPr>
      <w:r w:rsidRPr="002E52F1">
        <w:rPr>
          <w:rFonts w:ascii="Verdana" w:hAnsi="Verdana"/>
          <w:sz w:val="22"/>
          <w:szCs w:val="22"/>
        </w:rPr>
        <w:t xml:space="preserve">El presente </w:t>
      </w:r>
      <w:proofErr w:type="gramStart"/>
      <w:r w:rsidRPr="002E52F1">
        <w:rPr>
          <w:rFonts w:ascii="Verdana" w:hAnsi="Verdana"/>
          <w:sz w:val="22"/>
          <w:szCs w:val="22"/>
        </w:rPr>
        <w:t>concepto</w:t>
      </w:r>
      <w:r w:rsidRPr="002E52F1">
        <w:rPr>
          <w:rFonts w:ascii="Verdana" w:hAnsi="Verdana"/>
          <w:sz w:val="22"/>
          <w:szCs w:val="22"/>
          <w:vertAlign w:val="subscript"/>
        </w:rPr>
        <w:t>[</w:t>
      </w:r>
      <w:proofErr w:type="gramEnd"/>
      <w:r w:rsidRPr="002E52F1">
        <w:rPr>
          <w:rFonts w:ascii="Verdana" w:hAnsi="Verdana"/>
          <w:sz w:val="22"/>
          <w:szCs w:val="22"/>
          <w:vertAlign w:val="subscript"/>
        </w:rPr>
        <w:t>5]</w:t>
      </w:r>
      <w:r w:rsidRPr="002E52F1">
        <w:rPr>
          <w:rFonts w:ascii="Verdana" w:hAnsi="Verdana"/>
          <w:sz w:val="22"/>
          <w:szCs w:val="22"/>
        </w:rPr>
        <w:t xml:space="preserve"> no es de obligatorio cumplimiento o ejecución para particulares o agentes externos, de conformidad con lo establecido 1755 de 2015. No </w:t>
      </w:r>
      <w:proofErr w:type="gramStart"/>
      <w:r w:rsidRPr="002E52F1">
        <w:rPr>
          <w:rFonts w:ascii="Verdana" w:hAnsi="Verdana"/>
          <w:sz w:val="22"/>
          <w:szCs w:val="22"/>
        </w:rPr>
        <w:t>obstante</w:t>
      </w:r>
      <w:proofErr w:type="gramEnd"/>
      <w:r w:rsidRPr="002E52F1">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w:t>
      </w:r>
      <w:r w:rsidRPr="002E52F1">
        <w:rPr>
          <w:rFonts w:ascii="Verdana" w:hAnsi="Verdana"/>
          <w:sz w:val="22"/>
          <w:szCs w:val="22"/>
        </w:rPr>
        <w:lastRenderedPageBreak/>
        <w:t>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9C880F3" w14:textId="77777777" w:rsidR="00F11C62" w:rsidRPr="002E52F1" w:rsidRDefault="00F11C62" w:rsidP="002E52F1">
      <w:pPr>
        <w:jc w:val="both"/>
        <w:rPr>
          <w:rFonts w:ascii="Verdana" w:hAnsi="Verdana"/>
          <w:sz w:val="22"/>
          <w:szCs w:val="22"/>
        </w:rPr>
      </w:pPr>
      <w:r w:rsidRPr="002E52F1">
        <w:rPr>
          <w:rFonts w:ascii="Verdana" w:hAnsi="Verdana"/>
          <w:sz w:val="22"/>
          <w:szCs w:val="22"/>
        </w:rPr>
        <w:t>Cordialmente,</w:t>
      </w:r>
    </w:p>
    <w:p w14:paraId="0C07B6DC" w14:textId="77777777" w:rsidR="00F11C62" w:rsidRPr="002E52F1" w:rsidRDefault="00F11C62" w:rsidP="002E52F1">
      <w:pPr>
        <w:jc w:val="both"/>
        <w:rPr>
          <w:rFonts w:ascii="Verdana" w:hAnsi="Verdana"/>
          <w:sz w:val="22"/>
          <w:szCs w:val="22"/>
        </w:rPr>
      </w:pPr>
      <w:r w:rsidRPr="002E52F1">
        <w:rPr>
          <w:rFonts w:ascii="Verdana" w:hAnsi="Verdana"/>
          <w:b/>
          <w:bCs/>
          <w:sz w:val="22"/>
          <w:szCs w:val="22"/>
        </w:rPr>
        <w:t>LUZ KARIME FERNANDEZ CASTILLOO</w:t>
      </w:r>
    </w:p>
    <w:p w14:paraId="1EFEBB77" w14:textId="77777777" w:rsidR="00F11C62" w:rsidRPr="002E52F1" w:rsidRDefault="00F11C62" w:rsidP="002E52F1">
      <w:pPr>
        <w:jc w:val="both"/>
        <w:rPr>
          <w:rFonts w:ascii="Verdana" w:hAnsi="Verdana"/>
          <w:sz w:val="22"/>
          <w:szCs w:val="22"/>
        </w:rPr>
      </w:pPr>
      <w:r w:rsidRPr="002E52F1">
        <w:rPr>
          <w:rFonts w:ascii="Verdana" w:hAnsi="Verdana"/>
          <w:sz w:val="22"/>
          <w:szCs w:val="22"/>
        </w:rPr>
        <w:t>Jefe Oficina Asesora Jurídica</w:t>
      </w:r>
    </w:p>
    <w:p w14:paraId="73D94573" w14:textId="77777777" w:rsidR="002E52F1" w:rsidRDefault="002E52F1" w:rsidP="002E52F1">
      <w:pPr>
        <w:jc w:val="both"/>
        <w:rPr>
          <w:rFonts w:ascii="Verdana" w:hAnsi="Verdana"/>
          <w:b/>
          <w:bCs/>
          <w:sz w:val="22"/>
          <w:szCs w:val="22"/>
        </w:rPr>
      </w:pPr>
    </w:p>
    <w:p w14:paraId="2D6A77C8" w14:textId="3D2374D3" w:rsidR="00F11C62" w:rsidRPr="002E52F1" w:rsidRDefault="006959AB" w:rsidP="002E52F1">
      <w:pPr>
        <w:jc w:val="both"/>
        <w:rPr>
          <w:rFonts w:ascii="Verdana" w:hAnsi="Verdana"/>
          <w:b/>
          <w:bCs/>
          <w:sz w:val="22"/>
          <w:szCs w:val="22"/>
        </w:rPr>
      </w:pPr>
      <w:r w:rsidRPr="002E52F1">
        <w:rPr>
          <w:rFonts w:ascii="Verdana" w:hAnsi="Verdana"/>
          <w:b/>
          <w:bCs/>
          <w:sz w:val="22"/>
          <w:szCs w:val="22"/>
        </w:rPr>
        <w:t xml:space="preserve">Notas pie de pagina </w:t>
      </w:r>
    </w:p>
    <w:p w14:paraId="68820C4B" w14:textId="6723AF0E" w:rsidR="00F11C62" w:rsidRPr="002E52F1" w:rsidRDefault="00F11C62" w:rsidP="002E52F1">
      <w:pPr>
        <w:pStyle w:val="Prrafodelista"/>
        <w:numPr>
          <w:ilvl w:val="0"/>
          <w:numId w:val="2"/>
        </w:numPr>
        <w:jc w:val="both"/>
        <w:rPr>
          <w:rFonts w:ascii="Verdana" w:hAnsi="Verdana"/>
          <w:sz w:val="22"/>
          <w:szCs w:val="22"/>
        </w:rPr>
      </w:pPr>
      <w:r w:rsidRPr="002E52F1">
        <w:rPr>
          <w:rFonts w:ascii="Verdana" w:hAnsi="Verdana"/>
          <w:sz w:val="22"/>
          <w:szCs w:val="22"/>
        </w:rPr>
        <w:t>Código del Menor. Título Cuarto Comisarías de Familia Artículo 299</w:t>
      </w:r>
    </w:p>
    <w:p w14:paraId="601E94E0" w14:textId="62BF5166" w:rsidR="00F11C62" w:rsidRPr="002E52F1" w:rsidRDefault="00F11C62" w:rsidP="002E52F1">
      <w:pPr>
        <w:pStyle w:val="Prrafodelista"/>
        <w:numPr>
          <w:ilvl w:val="0"/>
          <w:numId w:val="2"/>
        </w:numPr>
        <w:jc w:val="both"/>
        <w:rPr>
          <w:rFonts w:ascii="Verdana" w:hAnsi="Verdana"/>
          <w:sz w:val="22"/>
          <w:szCs w:val="22"/>
        </w:rPr>
      </w:pPr>
      <w:r w:rsidRPr="002E52F1">
        <w:rPr>
          <w:rFonts w:ascii="Verdana" w:hAnsi="Verdana"/>
          <w:sz w:val="22"/>
          <w:szCs w:val="22"/>
        </w:rPr>
        <w:t>Ley 1098 de 2006 Artículo 83</w:t>
      </w:r>
    </w:p>
    <w:p w14:paraId="10424A57" w14:textId="77429C9E" w:rsidR="00F11C62" w:rsidRPr="002E52F1" w:rsidRDefault="00F11C62" w:rsidP="002E52F1">
      <w:pPr>
        <w:pStyle w:val="Prrafodelista"/>
        <w:numPr>
          <w:ilvl w:val="0"/>
          <w:numId w:val="2"/>
        </w:numPr>
        <w:jc w:val="both"/>
        <w:rPr>
          <w:rFonts w:ascii="Verdana" w:hAnsi="Verdana"/>
          <w:sz w:val="22"/>
          <w:szCs w:val="22"/>
        </w:rPr>
      </w:pPr>
      <w:r w:rsidRPr="002E52F1">
        <w:rPr>
          <w:rFonts w:ascii="Verdana" w:hAnsi="Verdana"/>
          <w:sz w:val="22"/>
          <w:szCs w:val="22"/>
        </w:rPr>
        <w:t>por el cual se reglamentar) los artículos 52, 77, 79, 82, 83, 84, 86, 87, 96, 98. 99, 100, 105, 111 de la Ley 1098 de 2006.</w:t>
      </w:r>
    </w:p>
    <w:p w14:paraId="5A2AB3D6" w14:textId="587C86AB" w:rsidR="00F11C62" w:rsidRPr="002E52F1" w:rsidRDefault="00F11C62" w:rsidP="002E52F1">
      <w:pPr>
        <w:pStyle w:val="Prrafodelista"/>
        <w:numPr>
          <w:ilvl w:val="0"/>
          <w:numId w:val="2"/>
        </w:numPr>
        <w:jc w:val="both"/>
        <w:rPr>
          <w:rFonts w:ascii="Verdana" w:hAnsi="Verdana"/>
          <w:sz w:val="22"/>
          <w:szCs w:val="22"/>
        </w:rPr>
      </w:pPr>
      <w:r w:rsidRPr="002E52F1">
        <w:rPr>
          <w:rFonts w:ascii="Verdana" w:hAnsi="Verdana"/>
          <w:sz w:val="22"/>
          <w:szCs w:val="22"/>
        </w:rPr>
        <w:t>"Por medio del cual se expide el decreto único reglamentario del sector justicia y del derecho."</w:t>
      </w:r>
    </w:p>
    <w:p w14:paraId="5CD78B1B" w14:textId="0A6520F8" w:rsidR="00A724C4" w:rsidRPr="002E52F1" w:rsidRDefault="00F11C62" w:rsidP="002E52F1">
      <w:pPr>
        <w:pStyle w:val="Prrafodelista"/>
        <w:numPr>
          <w:ilvl w:val="0"/>
          <w:numId w:val="2"/>
        </w:numPr>
        <w:jc w:val="both"/>
        <w:rPr>
          <w:rFonts w:ascii="Verdana" w:hAnsi="Verdana"/>
          <w:sz w:val="22"/>
          <w:szCs w:val="22"/>
        </w:rPr>
      </w:pPr>
      <w:r w:rsidRPr="002E52F1">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w:t>
      </w:r>
      <w:r w:rsidRPr="002E52F1">
        <w:rPr>
          <w:rFonts w:ascii="Verdana" w:hAnsi="Verdana"/>
          <w:i/>
          <w:iCs/>
          <w:sz w:val="22"/>
          <w:szCs w:val="22"/>
        </w:rPr>
        <w:t>a</w:t>
      </w:r>
      <w:r w:rsidRPr="002E52F1">
        <w:rPr>
          <w:rFonts w:ascii="Verdana" w:hAnsi="Verdana"/>
          <w:sz w:val="22"/>
          <w:szCs w:val="22"/>
        </w:rPr>
        <w:t>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 Constituyente contenido en el art 209 ce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sectPr w:rsidR="00A724C4" w:rsidRPr="002E52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34556"/>
    <w:multiLevelType w:val="multilevel"/>
    <w:tmpl w:val="A9A0CDC8"/>
    <w:lvl w:ilvl="0">
      <w:start w:val="1"/>
      <w:numFmt w:val="decimal"/>
      <w:lvlText w:val="%1."/>
      <w:lvlJc w:val="left"/>
      <w:pPr>
        <w:ind w:left="720" w:hanging="360"/>
      </w:pPr>
      <w:rPr>
        <w:rFonts w:hint="default"/>
        <w:b/>
        <w:u w:val="single"/>
      </w:rPr>
    </w:lvl>
    <w:lvl w:ilvl="1">
      <w:start w:val="1"/>
      <w:numFmt w:val="decimal"/>
      <w:isLgl/>
      <w:lvlText w:val="%1.%2"/>
      <w:lvlJc w:val="left"/>
      <w:pPr>
        <w:ind w:left="1080" w:hanging="72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440" w:hanging="1080"/>
      </w:pPr>
      <w:rPr>
        <w:rFonts w:hint="default"/>
        <w:b/>
        <w:u w:val="single"/>
      </w:rPr>
    </w:lvl>
    <w:lvl w:ilvl="4">
      <w:start w:val="1"/>
      <w:numFmt w:val="decimal"/>
      <w:isLgl/>
      <w:lvlText w:val="%1.%2.%3.%4.%5"/>
      <w:lvlJc w:val="left"/>
      <w:pPr>
        <w:ind w:left="1800" w:hanging="1440"/>
      </w:pPr>
      <w:rPr>
        <w:rFonts w:hint="default"/>
        <w:b/>
        <w:u w:val="single"/>
      </w:rPr>
    </w:lvl>
    <w:lvl w:ilvl="5">
      <w:start w:val="1"/>
      <w:numFmt w:val="decimal"/>
      <w:isLgl/>
      <w:lvlText w:val="%1.%2.%3.%4.%5.%6"/>
      <w:lvlJc w:val="left"/>
      <w:pPr>
        <w:ind w:left="2160" w:hanging="1800"/>
      </w:pPr>
      <w:rPr>
        <w:rFonts w:hint="default"/>
        <w:b/>
        <w:u w:val="single"/>
      </w:rPr>
    </w:lvl>
    <w:lvl w:ilvl="6">
      <w:start w:val="1"/>
      <w:numFmt w:val="decimal"/>
      <w:isLgl/>
      <w:lvlText w:val="%1.%2.%3.%4.%5.%6.%7"/>
      <w:lvlJc w:val="left"/>
      <w:pPr>
        <w:ind w:left="2160" w:hanging="1800"/>
      </w:pPr>
      <w:rPr>
        <w:rFonts w:hint="default"/>
        <w:b/>
        <w:u w:val="single"/>
      </w:rPr>
    </w:lvl>
    <w:lvl w:ilvl="7">
      <w:start w:val="1"/>
      <w:numFmt w:val="decimal"/>
      <w:isLgl/>
      <w:lvlText w:val="%1.%2.%3.%4.%5.%6.%7.%8"/>
      <w:lvlJc w:val="left"/>
      <w:pPr>
        <w:ind w:left="2520" w:hanging="2160"/>
      </w:pPr>
      <w:rPr>
        <w:rFonts w:hint="default"/>
        <w:b/>
        <w:u w:val="single"/>
      </w:rPr>
    </w:lvl>
    <w:lvl w:ilvl="8">
      <w:start w:val="1"/>
      <w:numFmt w:val="decimal"/>
      <w:isLgl/>
      <w:lvlText w:val="%1.%2.%3.%4.%5.%6.%7.%8.%9"/>
      <w:lvlJc w:val="left"/>
      <w:pPr>
        <w:ind w:left="2880" w:hanging="2520"/>
      </w:pPr>
      <w:rPr>
        <w:rFonts w:hint="default"/>
        <w:b/>
        <w:u w:val="single"/>
      </w:rPr>
    </w:lvl>
  </w:abstractNum>
  <w:abstractNum w:abstractNumId="1" w15:restartNumberingAfterBreak="0">
    <w:nsid w:val="609C1370"/>
    <w:multiLevelType w:val="hybridMultilevel"/>
    <w:tmpl w:val="CFCEC8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5901C72"/>
    <w:multiLevelType w:val="hybridMultilevel"/>
    <w:tmpl w:val="CA0E38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5C86E3E"/>
    <w:multiLevelType w:val="hybridMultilevel"/>
    <w:tmpl w:val="213C5E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69504704">
    <w:abstractNumId w:val="3"/>
  </w:num>
  <w:num w:numId="2" w16cid:durableId="343439974">
    <w:abstractNumId w:val="2"/>
  </w:num>
  <w:num w:numId="3" w16cid:durableId="2019848588">
    <w:abstractNumId w:val="1"/>
  </w:num>
  <w:num w:numId="4" w16cid:durableId="175855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91"/>
    <w:rsid w:val="000C3FC7"/>
    <w:rsid w:val="00243CB4"/>
    <w:rsid w:val="002E52F1"/>
    <w:rsid w:val="006959AB"/>
    <w:rsid w:val="00A724C4"/>
    <w:rsid w:val="00DB3913"/>
    <w:rsid w:val="00F11C62"/>
    <w:rsid w:val="00FF32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92FA"/>
  <w15:chartTrackingRefBased/>
  <w15:docId w15:val="{9434C459-C7BE-45FC-999D-450AE25C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3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3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32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32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32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32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32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32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32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2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32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32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32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F32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F32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32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32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3291"/>
    <w:rPr>
      <w:rFonts w:eastAsiaTheme="majorEastAsia" w:cstheme="majorBidi"/>
      <w:color w:val="272727" w:themeColor="text1" w:themeTint="D8"/>
    </w:rPr>
  </w:style>
  <w:style w:type="paragraph" w:styleId="Ttulo">
    <w:name w:val="Title"/>
    <w:basedOn w:val="Normal"/>
    <w:next w:val="Normal"/>
    <w:link w:val="TtuloCar"/>
    <w:uiPriority w:val="10"/>
    <w:qFormat/>
    <w:rsid w:val="00FF3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32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32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32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3291"/>
    <w:pPr>
      <w:spacing w:before="160"/>
      <w:jc w:val="center"/>
    </w:pPr>
    <w:rPr>
      <w:i/>
      <w:iCs/>
      <w:color w:val="404040" w:themeColor="text1" w:themeTint="BF"/>
    </w:rPr>
  </w:style>
  <w:style w:type="character" w:customStyle="1" w:styleId="CitaCar">
    <w:name w:val="Cita Car"/>
    <w:basedOn w:val="Fuentedeprrafopredeter"/>
    <w:link w:val="Cita"/>
    <w:uiPriority w:val="29"/>
    <w:rsid w:val="00FF3291"/>
    <w:rPr>
      <w:i/>
      <w:iCs/>
      <w:color w:val="404040" w:themeColor="text1" w:themeTint="BF"/>
    </w:rPr>
  </w:style>
  <w:style w:type="paragraph" w:styleId="Prrafodelista">
    <w:name w:val="List Paragraph"/>
    <w:basedOn w:val="Normal"/>
    <w:uiPriority w:val="34"/>
    <w:qFormat/>
    <w:rsid w:val="00FF3291"/>
    <w:pPr>
      <w:ind w:left="720"/>
      <w:contextualSpacing/>
    </w:pPr>
  </w:style>
  <w:style w:type="character" w:styleId="nfasisintenso">
    <w:name w:val="Intense Emphasis"/>
    <w:basedOn w:val="Fuentedeprrafopredeter"/>
    <w:uiPriority w:val="21"/>
    <w:qFormat/>
    <w:rsid w:val="00FF3291"/>
    <w:rPr>
      <w:i/>
      <w:iCs/>
      <w:color w:val="0F4761" w:themeColor="accent1" w:themeShade="BF"/>
    </w:rPr>
  </w:style>
  <w:style w:type="paragraph" w:styleId="Citadestacada">
    <w:name w:val="Intense Quote"/>
    <w:basedOn w:val="Normal"/>
    <w:next w:val="Normal"/>
    <w:link w:val="CitadestacadaCar"/>
    <w:uiPriority w:val="30"/>
    <w:qFormat/>
    <w:rsid w:val="00FF3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3291"/>
    <w:rPr>
      <w:i/>
      <w:iCs/>
      <w:color w:val="0F4761" w:themeColor="accent1" w:themeShade="BF"/>
    </w:rPr>
  </w:style>
  <w:style w:type="character" w:styleId="Referenciaintensa">
    <w:name w:val="Intense Reference"/>
    <w:basedOn w:val="Fuentedeprrafopredeter"/>
    <w:uiPriority w:val="32"/>
    <w:qFormat/>
    <w:rsid w:val="00FF3291"/>
    <w:rPr>
      <w:b/>
      <w:bCs/>
      <w:smallCaps/>
      <w:color w:val="0F4761" w:themeColor="accent1" w:themeShade="BF"/>
      <w:spacing w:val="5"/>
    </w:rPr>
  </w:style>
  <w:style w:type="character" w:styleId="Hipervnculo">
    <w:name w:val="Hyperlink"/>
    <w:basedOn w:val="Fuentedeprrafopredeter"/>
    <w:uiPriority w:val="99"/>
    <w:unhideWhenUsed/>
    <w:rsid w:val="00F11C62"/>
    <w:rPr>
      <w:color w:val="467886" w:themeColor="hyperlink"/>
      <w:u w:val="single"/>
    </w:rPr>
  </w:style>
  <w:style w:type="character" w:styleId="Mencinsinresolver">
    <w:name w:val="Unresolved Mention"/>
    <w:basedOn w:val="Fuentedeprrafopredeter"/>
    <w:uiPriority w:val="99"/>
    <w:semiHidden/>
    <w:unhideWhenUsed/>
    <w:rsid w:val="00F11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B1B0E-8DE8-4D20-B076-1467B2C9F6AC}"/>
</file>

<file path=customXml/itemProps2.xml><?xml version="1.0" encoding="utf-8"?>
<ds:datastoreItem xmlns:ds="http://schemas.openxmlformats.org/officeDocument/2006/customXml" ds:itemID="{BFAB2DC3-8464-402A-850D-50F677432A00}"/>
</file>

<file path=customXml/itemProps3.xml><?xml version="1.0" encoding="utf-8"?>
<ds:datastoreItem xmlns:ds="http://schemas.openxmlformats.org/officeDocument/2006/customXml" ds:itemID="{D1D177F9-F75A-4FFE-BEE7-F6FD652F0F9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1448</Words>
  <Characters>7968</Characters>
  <Application>Microsoft Office Word</Application>
  <DocSecurity>0</DocSecurity>
  <Lines>66</Lines>
  <Paragraphs>18</Paragraphs>
  <ScaleCrop>false</ScaleCrop>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2026-05-19T03:36:00Z</dcterms:created>
  <dcterms:modified xsi:type="dcterms:W3CDTF">2026-05-19T03:45:00Z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