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BEF7B" w14:textId="77777777" w:rsidR="00234427" w:rsidRPr="005A1ACE" w:rsidRDefault="00234427" w:rsidP="00A35C18">
      <w:pPr>
        <w:spacing w:line="276" w:lineRule="auto"/>
        <w:jc w:val="center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b/>
          <w:bCs/>
          <w:sz w:val="22"/>
          <w:szCs w:val="22"/>
        </w:rPr>
        <w:t>CONCEPTO 54 DE 2014</w:t>
      </w:r>
    </w:p>
    <w:p w14:paraId="16B52EA1" w14:textId="781E3927" w:rsidR="00234427" w:rsidRPr="005A1ACE" w:rsidRDefault="00234427" w:rsidP="00A35C18">
      <w:pPr>
        <w:spacing w:line="276" w:lineRule="auto"/>
        <w:jc w:val="center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sz w:val="22"/>
          <w:szCs w:val="22"/>
        </w:rPr>
        <w:t>(abril 14)</w:t>
      </w:r>
    </w:p>
    <w:p w14:paraId="3FCA9966" w14:textId="77777777" w:rsidR="00234427" w:rsidRPr="005A1ACE" w:rsidRDefault="00234427" w:rsidP="00A35C18">
      <w:pPr>
        <w:spacing w:line="276" w:lineRule="auto"/>
        <w:jc w:val="center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b/>
          <w:bCs/>
          <w:sz w:val="22"/>
          <w:szCs w:val="22"/>
        </w:rPr>
        <w:t>INSTITUTO COLOMBIANO DE BIENESTAR FAMILIAR – ICBF</w:t>
      </w:r>
    </w:p>
    <w:p w14:paraId="351CECE2" w14:textId="77777777" w:rsidR="00095582" w:rsidRDefault="00234427" w:rsidP="00095582">
      <w:pPr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  <w:r w:rsidRPr="005A1ACE">
        <w:rPr>
          <w:rFonts w:ascii="Verdana" w:hAnsi="Verdana"/>
          <w:b/>
          <w:bCs/>
          <w:sz w:val="22"/>
          <w:szCs w:val="22"/>
        </w:rPr>
        <w:br/>
      </w:r>
    </w:p>
    <w:p w14:paraId="78A0BD32" w14:textId="34BC412B" w:rsidR="00095582" w:rsidRPr="00095582" w:rsidRDefault="00095582" w:rsidP="00095582">
      <w:pPr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  <w:r w:rsidRPr="00095582">
        <w:rPr>
          <w:rFonts w:ascii="Verdana" w:hAnsi="Verdana"/>
          <w:b/>
          <w:bCs/>
          <w:sz w:val="22"/>
          <w:szCs w:val="22"/>
        </w:rPr>
        <w:t>PARA:</w:t>
      </w:r>
      <w:r>
        <w:rPr>
          <w:rFonts w:ascii="Verdana" w:hAnsi="Verdana"/>
          <w:sz w:val="22"/>
          <w:szCs w:val="22"/>
        </w:rPr>
        <w:t xml:space="preserve"> </w:t>
      </w:r>
      <w:proofErr w:type="gramStart"/>
      <w:r w:rsidRPr="00095582">
        <w:rPr>
          <w:rFonts w:ascii="Verdana" w:hAnsi="Verdana"/>
          <w:sz w:val="22"/>
          <w:szCs w:val="22"/>
        </w:rPr>
        <w:t>Subdirector</w:t>
      </w:r>
      <w:proofErr w:type="gramEnd"/>
      <w:r w:rsidRPr="00095582">
        <w:rPr>
          <w:rFonts w:ascii="Verdana" w:hAnsi="Verdana"/>
          <w:sz w:val="22"/>
          <w:szCs w:val="22"/>
        </w:rPr>
        <w:t xml:space="preserve"> de Articulación del Sistema Nacional de Bienestar Familiar</w:t>
      </w:r>
    </w:p>
    <w:p w14:paraId="786F4837" w14:textId="3F5D338E" w:rsidR="00095582" w:rsidRDefault="00095582" w:rsidP="00095582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095582">
        <w:rPr>
          <w:rFonts w:ascii="Verdana" w:hAnsi="Verdana"/>
          <w:b/>
          <w:bCs/>
          <w:sz w:val="22"/>
          <w:szCs w:val="22"/>
        </w:rPr>
        <w:t>ASUNTO:</w:t>
      </w:r>
      <w:r>
        <w:rPr>
          <w:rFonts w:ascii="Verdana" w:hAnsi="Verdana"/>
          <w:sz w:val="22"/>
          <w:szCs w:val="22"/>
        </w:rPr>
        <w:t xml:space="preserve"> </w:t>
      </w:r>
      <w:r w:rsidRPr="00095582">
        <w:rPr>
          <w:rFonts w:ascii="Verdana" w:hAnsi="Verdana"/>
          <w:sz w:val="22"/>
          <w:szCs w:val="22"/>
        </w:rPr>
        <w:t>Concepto sobre la viabilidad jurídica del “Protocolo de participación efectiva de los niños, niñas y adolescentes víctimas del conflicto armado colombiano”</w:t>
      </w:r>
    </w:p>
    <w:p w14:paraId="216B8439" w14:textId="77777777" w:rsidR="00095582" w:rsidRDefault="00095582" w:rsidP="00095582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44CE75DE" w14:textId="480CE7C6" w:rsidR="00234427" w:rsidRPr="005A1ACE" w:rsidRDefault="00234427" w:rsidP="005A1AC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sz w:val="22"/>
          <w:szCs w:val="22"/>
        </w:rPr>
        <w:t>De manera respetuosa, la Oficina Asesora Jurídica en ejercicio de la función consignada en el Decreto 987 de 2012, artículo 10, numeral 4, “</w:t>
      </w:r>
      <w:r w:rsidRPr="005A1ACE">
        <w:rPr>
          <w:rFonts w:ascii="Verdana" w:hAnsi="Verdana"/>
          <w:i/>
          <w:iCs/>
          <w:sz w:val="22"/>
          <w:szCs w:val="22"/>
        </w:rPr>
        <w:t>Conceptuar sobre los</w:t>
      </w:r>
      <w:r w:rsidRPr="005A1ACE">
        <w:rPr>
          <w:rFonts w:ascii="Verdana" w:hAnsi="Verdana"/>
          <w:sz w:val="22"/>
          <w:szCs w:val="22"/>
        </w:rPr>
        <w:t> </w:t>
      </w:r>
      <w:r w:rsidRPr="005A1ACE">
        <w:rPr>
          <w:rFonts w:ascii="Verdana" w:hAnsi="Verdana"/>
          <w:i/>
          <w:iCs/>
          <w:sz w:val="22"/>
          <w:szCs w:val="22"/>
        </w:rPr>
        <w:t>asuntos</w:t>
      </w:r>
      <w:r w:rsidRPr="005A1ACE">
        <w:rPr>
          <w:rFonts w:ascii="Verdana" w:hAnsi="Verdana"/>
          <w:sz w:val="22"/>
          <w:szCs w:val="22"/>
        </w:rPr>
        <w:t> </w:t>
      </w:r>
      <w:r w:rsidRPr="005A1ACE">
        <w:rPr>
          <w:rFonts w:ascii="Verdana" w:hAnsi="Verdana"/>
          <w:i/>
          <w:iCs/>
          <w:sz w:val="22"/>
          <w:szCs w:val="22"/>
        </w:rPr>
        <w:t>de contenido jurídico que de oficio considere pertinente o que someta a su consideración las dependencias de la entidad”,</w:t>
      </w:r>
      <w:r w:rsidRPr="005A1ACE">
        <w:rPr>
          <w:rFonts w:ascii="Verdana" w:hAnsi="Verdana"/>
          <w:sz w:val="22"/>
          <w:szCs w:val="22"/>
        </w:rPr>
        <w:t> se permite presentar concepto sobre el tema de referencia y realizar unas recomendaciones al texto, en los términos que siguen:</w:t>
      </w:r>
    </w:p>
    <w:p w14:paraId="3F8CB1FF" w14:textId="5BB7D0F7" w:rsidR="00234427" w:rsidRPr="005A1ACE" w:rsidRDefault="00234427" w:rsidP="005A1AC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b/>
          <w:bCs/>
          <w:sz w:val="22"/>
          <w:szCs w:val="22"/>
        </w:rPr>
        <w:t>1. Sobre el derecho de participación efectiva que consagra la ley </w:t>
      </w:r>
      <w:r w:rsidRPr="005A1ACE">
        <w:rPr>
          <w:rFonts w:ascii="Verdana" w:hAnsi="Verdana"/>
          <w:sz w:val="22"/>
          <w:szCs w:val="22"/>
        </w:rPr>
        <w:t>1448</w:t>
      </w:r>
      <w:r w:rsidRPr="005A1ACE">
        <w:rPr>
          <w:rFonts w:ascii="Verdana" w:hAnsi="Verdana"/>
          <w:b/>
          <w:bCs/>
          <w:sz w:val="22"/>
          <w:szCs w:val="22"/>
        </w:rPr>
        <w:t> de 2011 y su decreto reglamentario.</w:t>
      </w:r>
    </w:p>
    <w:p w14:paraId="13955024" w14:textId="42E94C18" w:rsidR="00234427" w:rsidRPr="005A1ACE" w:rsidRDefault="00234427" w:rsidP="005A1AC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sz w:val="22"/>
          <w:szCs w:val="22"/>
        </w:rPr>
        <w:t xml:space="preserve">La ley 1448 de 2011 consagra que uno </w:t>
      </w:r>
      <w:proofErr w:type="gramStart"/>
      <w:r w:rsidRPr="005A1ACE">
        <w:rPr>
          <w:rFonts w:ascii="Verdana" w:hAnsi="Verdana"/>
          <w:sz w:val="22"/>
          <w:szCs w:val="22"/>
        </w:rPr>
        <w:t>de los derecho</w:t>
      </w:r>
      <w:proofErr w:type="gramEnd"/>
      <w:r w:rsidRPr="005A1ACE">
        <w:rPr>
          <w:rFonts w:ascii="Verdana" w:hAnsi="Verdana"/>
          <w:sz w:val="22"/>
          <w:szCs w:val="22"/>
        </w:rPr>
        <w:t xml:space="preserve"> de las víctimas es </w:t>
      </w:r>
      <w:r w:rsidRPr="005A1ACE">
        <w:rPr>
          <w:rFonts w:ascii="Verdana" w:hAnsi="Verdana"/>
          <w:i/>
          <w:iCs/>
          <w:sz w:val="22"/>
          <w:szCs w:val="22"/>
        </w:rPr>
        <w:t>“participar en la formulación, implementación y seguimiento de la política pública de prevención, atención y reparación integral”,</w:t>
      </w:r>
      <w:r w:rsidRPr="005A1ACE">
        <w:rPr>
          <w:rFonts w:ascii="Verdana" w:hAnsi="Verdana"/>
          <w:i/>
          <w:iCs/>
          <w:sz w:val="22"/>
          <w:szCs w:val="22"/>
          <w:vertAlign w:val="subscript"/>
        </w:rPr>
        <w:t>[1]</w:t>
      </w:r>
      <w:r w:rsidRPr="005A1ACE">
        <w:rPr>
          <w:rFonts w:ascii="Verdana" w:hAnsi="Verdana"/>
          <w:i/>
          <w:iCs/>
          <w:sz w:val="22"/>
          <w:szCs w:val="22"/>
        </w:rPr>
        <w:t> </w:t>
      </w:r>
      <w:r w:rsidRPr="005A1ACE">
        <w:rPr>
          <w:rFonts w:ascii="Verdana" w:hAnsi="Verdana"/>
          <w:sz w:val="22"/>
          <w:szCs w:val="22"/>
        </w:rPr>
        <w:t xml:space="preserve">en virtud de ello, se disponen en el Título VIII del citado estatuto, que le corresponde al Estado garantizar la participación efectiva de las víctimas y </w:t>
      </w:r>
      <w:proofErr w:type="gramStart"/>
      <w:r w:rsidRPr="005A1ACE">
        <w:rPr>
          <w:rFonts w:ascii="Verdana" w:hAnsi="Verdana"/>
          <w:sz w:val="22"/>
          <w:szCs w:val="22"/>
        </w:rPr>
        <w:t>que</w:t>
      </w:r>
      <w:proofErr w:type="gramEnd"/>
      <w:r w:rsidRPr="005A1ACE">
        <w:rPr>
          <w:rFonts w:ascii="Verdana" w:hAnsi="Verdana"/>
          <w:sz w:val="22"/>
          <w:szCs w:val="22"/>
        </w:rPr>
        <w:t xml:space="preserve"> para ello, hará uso de los mecanismos democráticos previsto en la ley y en la constitución.</w:t>
      </w:r>
      <w:r w:rsidRPr="005A1ACE">
        <w:rPr>
          <w:rFonts w:ascii="Verdana" w:hAnsi="Verdana"/>
          <w:sz w:val="22"/>
          <w:szCs w:val="22"/>
          <w:vertAlign w:val="subscript"/>
        </w:rPr>
        <w:t>[2]</w:t>
      </w:r>
    </w:p>
    <w:p w14:paraId="62303A03" w14:textId="550C8CAF" w:rsidR="00234427" w:rsidRPr="005A1ACE" w:rsidRDefault="00234427" w:rsidP="005A1AC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sz w:val="22"/>
          <w:szCs w:val="22"/>
        </w:rPr>
        <w:t>Seguidamente, mediante Decreto 4800 de 2011 se reglamentó sobre esta materia que debe entenderse por participación el “</w:t>
      </w:r>
      <w:r w:rsidRPr="005A1ACE">
        <w:rPr>
          <w:rFonts w:ascii="Verdana" w:hAnsi="Verdana"/>
          <w:i/>
          <w:iCs/>
          <w:sz w:val="22"/>
          <w:szCs w:val="22"/>
        </w:rPr>
        <w:t>derecho de las víctimas a </w:t>
      </w:r>
      <w:r w:rsidRPr="005A1ACE">
        <w:rPr>
          <w:rFonts w:ascii="Verdana" w:hAnsi="Verdana"/>
          <w:i/>
          <w:iCs/>
          <w:sz w:val="22"/>
          <w:szCs w:val="22"/>
          <w:u w:val="single"/>
        </w:rPr>
        <w:t>informarse, intervenir, presentar observaciones, recibir retroalimentación y coadyuvar de manera voluntaria,</w:t>
      </w:r>
      <w:r w:rsidRPr="005A1ACE">
        <w:rPr>
          <w:rFonts w:ascii="Verdana" w:hAnsi="Verdana"/>
          <w:i/>
          <w:iCs/>
          <w:sz w:val="22"/>
          <w:szCs w:val="22"/>
        </w:rPr>
        <w:t> en el diseño de los instrumentos de implementación</w:t>
      </w:r>
      <w:r w:rsidRPr="005A1ACE">
        <w:rPr>
          <w:rFonts w:ascii="Verdana" w:hAnsi="Verdana"/>
          <w:sz w:val="22"/>
          <w:szCs w:val="22"/>
        </w:rPr>
        <w:t>, </w:t>
      </w:r>
      <w:r w:rsidRPr="005A1ACE">
        <w:rPr>
          <w:rFonts w:ascii="Verdana" w:hAnsi="Verdana"/>
          <w:i/>
          <w:iCs/>
          <w:sz w:val="22"/>
          <w:szCs w:val="22"/>
        </w:rPr>
        <w:t>seguimiento y evaluación de las disposiciones previstas en la Ley 1448 de 2011 y los planes, programas y proyectos implementados para fines de materializar su cumplimiento”</w:t>
      </w:r>
      <w:r w:rsidRPr="005A1ACE">
        <w:rPr>
          <w:rFonts w:ascii="Verdana" w:hAnsi="Verdana"/>
          <w:i/>
          <w:iCs/>
          <w:sz w:val="22"/>
          <w:szCs w:val="22"/>
          <w:vertAlign w:val="subscript"/>
        </w:rPr>
        <w:t>[3]</w:t>
      </w:r>
      <w:r w:rsidRPr="005A1ACE">
        <w:rPr>
          <w:rFonts w:ascii="Verdana" w:hAnsi="Verdana"/>
          <w:i/>
          <w:iCs/>
          <w:sz w:val="22"/>
          <w:szCs w:val="22"/>
        </w:rPr>
        <w:t>;</w:t>
      </w:r>
      <w:r w:rsidRPr="005A1ACE">
        <w:rPr>
          <w:rFonts w:ascii="Verdana" w:hAnsi="Verdana"/>
          <w:sz w:val="22"/>
          <w:szCs w:val="22"/>
        </w:rPr>
        <w:t> y que dicha participación se hará efectiva en unos espacios legalmente constituidos, ellos son:</w:t>
      </w:r>
    </w:p>
    <w:p w14:paraId="6F2E631F" w14:textId="669F0D0B" w:rsidR="00234427" w:rsidRPr="005A1ACE" w:rsidRDefault="00234427" w:rsidP="005A1AC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b/>
          <w:bCs/>
          <w:i/>
          <w:iCs/>
          <w:sz w:val="22"/>
          <w:szCs w:val="22"/>
        </w:rPr>
        <w:t>"Artículo </w:t>
      </w:r>
      <w:r w:rsidRPr="005A1ACE">
        <w:rPr>
          <w:rFonts w:ascii="Verdana" w:hAnsi="Verdana"/>
          <w:i/>
          <w:iCs/>
          <w:sz w:val="22"/>
          <w:szCs w:val="22"/>
        </w:rPr>
        <w:t>263</w:t>
      </w:r>
      <w:r w:rsidRPr="005A1ACE">
        <w:rPr>
          <w:rFonts w:ascii="Verdana" w:hAnsi="Verdana"/>
          <w:b/>
          <w:bCs/>
          <w:i/>
          <w:iCs/>
          <w:sz w:val="22"/>
          <w:szCs w:val="22"/>
        </w:rPr>
        <w:t>. Espacios de participación de las víctimas. </w:t>
      </w:r>
      <w:r w:rsidRPr="005A1ACE">
        <w:rPr>
          <w:rFonts w:ascii="Verdana" w:hAnsi="Verdana"/>
          <w:i/>
          <w:iCs/>
          <w:sz w:val="22"/>
          <w:szCs w:val="22"/>
        </w:rPr>
        <w:t>Son aquellos espacios legalmente constituidos en los cuales se adoptan decisiones de política pública y donde las víctimas intervienen, por su propia iniciativa, mediante sus voceros o representantes.</w:t>
      </w:r>
    </w:p>
    <w:p w14:paraId="619D9AE4" w14:textId="77777777" w:rsidR="00234427" w:rsidRPr="005A1ACE" w:rsidRDefault="00234427" w:rsidP="005A1AC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i/>
          <w:iCs/>
          <w:sz w:val="22"/>
          <w:szCs w:val="22"/>
          <w:u w:val="single"/>
        </w:rPr>
        <w:lastRenderedPageBreak/>
        <w:t>Son espacios de participación de las víctimas</w:t>
      </w:r>
      <w:r w:rsidRPr="005A1ACE">
        <w:rPr>
          <w:rFonts w:ascii="Verdana" w:hAnsi="Verdana"/>
          <w:i/>
          <w:iCs/>
          <w:sz w:val="22"/>
          <w:szCs w:val="22"/>
        </w:rPr>
        <w:t>:</w:t>
      </w:r>
    </w:p>
    <w:p w14:paraId="764BF5C4" w14:textId="77777777" w:rsidR="00234427" w:rsidRPr="005A1ACE" w:rsidRDefault="00234427" w:rsidP="005A1AC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i/>
          <w:iCs/>
          <w:sz w:val="22"/>
          <w:szCs w:val="22"/>
        </w:rPr>
        <w:t>2. Las mesas municipales o distritales de participación de víctimas, en primer grado.</w:t>
      </w:r>
    </w:p>
    <w:p w14:paraId="5B205158" w14:textId="77777777" w:rsidR="00234427" w:rsidRPr="005A1ACE" w:rsidRDefault="00234427" w:rsidP="005A1AC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i/>
          <w:iCs/>
          <w:sz w:val="22"/>
          <w:szCs w:val="22"/>
        </w:rPr>
        <w:t>3. Las mesas departamentales de participación de víctimas</w:t>
      </w:r>
      <w:r w:rsidRPr="005A1ACE">
        <w:rPr>
          <w:rFonts w:ascii="Verdana" w:hAnsi="Verdana"/>
          <w:sz w:val="22"/>
          <w:szCs w:val="22"/>
        </w:rPr>
        <w:t>, </w:t>
      </w:r>
      <w:r w:rsidRPr="005A1ACE">
        <w:rPr>
          <w:rFonts w:ascii="Verdana" w:hAnsi="Verdana"/>
          <w:i/>
          <w:iCs/>
          <w:sz w:val="22"/>
          <w:szCs w:val="22"/>
        </w:rPr>
        <w:t>en segundo grado.</w:t>
      </w:r>
    </w:p>
    <w:p w14:paraId="01DD819A" w14:textId="77777777" w:rsidR="00234427" w:rsidRPr="005A1ACE" w:rsidRDefault="00234427" w:rsidP="005A1AC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i/>
          <w:iCs/>
          <w:sz w:val="22"/>
          <w:szCs w:val="22"/>
        </w:rPr>
        <w:t>4. La mesa nacional de participación de víctimas, en tercer grado.</w:t>
      </w:r>
    </w:p>
    <w:p w14:paraId="29C1A240" w14:textId="77777777" w:rsidR="00234427" w:rsidRPr="005A1ACE" w:rsidRDefault="00234427" w:rsidP="005A1AC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i/>
          <w:iCs/>
          <w:sz w:val="22"/>
          <w:szCs w:val="22"/>
        </w:rPr>
        <w:t>5. El Consejo Directivo de la Unidad Administrativa Especial de Gestión de Restitución de Tierras Despojadas.</w:t>
      </w:r>
    </w:p>
    <w:p w14:paraId="047A38AA" w14:textId="77777777" w:rsidR="00234427" w:rsidRPr="005A1ACE" w:rsidRDefault="00234427" w:rsidP="005A1AC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i/>
          <w:iCs/>
          <w:sz w:val="22"/>
          <w:szCs w:val="22"/>
        </w:rPr>
        <w:t>6. Los Comités territoriales de Justicia transicional</w:t>
      </w:r>
    </w:p>
    <w:p w14:paraId="5FDC79D8" w14:textId="77777777" w:rsidR="00234427" w:rsidRPr="005A1ACE" w:rsidRDefault="00234427" w:rsidP="005A1AC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i/>
          <w:iCs/>
          <w:sz w:val="22"/>
          <w:szCs w:val="22"/>
        </w:rPr>
        <w:t>7. La Comisión de Seguimiento y Monitoreo.</w:t>
      </w:r>
    </w:p>
    <w:p w14:paraId="283B3421" w14:textId="77777777" w:rsidR="00234427" w:rsidRPr="005A1ACE" w:rsidRDefault="00234427" w:rsidP="005A1AC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i/>
          <w:iCs/>
          <w:sz w:val="22"/>
          <w:szCs w:val="22"/>
        </w:rPr>
        <w:t>8. El Comité Ejecutivo para la Atención y Reparación a las Víctimas.</w:t>
      </w:r>
    </w:p>
    <w:p w14:paraId="024B959B" w14:textId="77777777" w:rsidR="00234427" w:rsidRPr="005A1ACE" w:rsidRDefault="00234427" w:rsidP="005A1AC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i/>
          <w:iCs/>
          <w:sz w:val="22"/>
          <w:szCs w:val="22"/>
        </w:rPr>
        <w:t>9. El Consejo Directivo del Centro de Memoria Histórica.</w:t>
      </w:r>
    </w:p>
    <w:p w14:paraId="28B716F4" w14:textId="77777777" w:rsidR="00234427" w:rsidRPr="005A1ACE" w:rsidRDefault="00234427" w:rsidP="005A1AC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i/>
          <w:iCs/>
          <w:sz w:val="22"/>
          <w:szCs w:val="22"/>
        </w:rPr>
        <w:t>10. Los Subcomités Técnicos.</w:t>
      </w:r>
    </w:p>
    <w:p w14:paraId="12F8589A" w14:textId="77777777" w:rsidR="00234427" w:rsidRPr="005A1ACE" w:rsidRDefault="00234427" w:rsidP="005A1AC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i/>
          <w:iCs/>
          <w:sz w:val="22"/>
          <w:szCs w:val="22"/>
        </w:rPr>
        <w:t>(...)”.</w:t>
      </w:r>
    </w:p>
    <w:p w14:paraId="5C6BBAC6" w14:textId="2A4970F9" w:rsidR="00234427" w:rsidRPr="005A1ACE" w:rsidRDefault="00234427" w:rsidP="005A1AC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sz w:val="22"/>
          <w:szCs w:val="22"/>
        </w:rPr>
        <w:t>En este sentido, señala que las </w:t>
      </w:r>
      <w:r w:rsidRPr="005A1ACE">
        <w:rPr>
          <w:rFonts w:ascii="Verdana" w:hAnsi="Verdana"/>
          <w:b/>
          <w:bCs/>
          <w:i/>
          <w:iCs/>
          <w:sz w:val="22"/>
          <w:szCs w:val="22"/>
        </w:rPr>
        <w:t>Mesas de Participación</w:t>
      </w:r>
      <w:r w:rsidRPr="005A1ACE">
        <w:rPr>
          <w:rFonts w:ascii="Verdana" w:hAnsi="Verdana"/>
          <w:b/>
          <w:bCs/>
          <w:i/>
          <w:iCs/>
          <w:sz w:val="22"/>
          <w:szCs w:val="22"/>
          <w:vertAlign w:val="subscript"/>
        </w:rPr>
        <w:t>[4]</w:t>
      </w:r>
      <w:r w:rsidRPr="005A1ACE">
        <w:rPr>
          <w:rFonts w:ascii="Verdana" w:hAnsi="Verdana"/>
          <w:b/>
          <w:bCs/>
          <w:i/>
          <w:iCs/>
          <w:sz w:val="22"/>
          <w:szCs w:val="22"/>
        </w:rPr>
        <w:t> </w:t>
      </w:r>
      <w:r w:rsidRPr="005A1ACE">
        <w:rPr>
          <w:rFonts w:ascii="Verdana" w:hAnsi="Verdana"/>
          <w:i/>
          <w:iCs/>
          <w:sz w:val="22"/>
          <w:szCs w:val="22"/>
        </w:rPr>
        <w:t>municipales,</w:t>
      </w:r>
      <w:r w:rsidRPr="005A1ACE">
        <w:rPr>
          <w:rFonts w:ascii="Verdana" w:hAnsi="Verdana"/>
          <w:i/>
          <w:iCs/>
          <w:sz w:val="22"/>
          <w:szCs w:val="22"/>
          <w:vertAlign w:val="subscript"/>
        </w:rPr>
        <w:t>[5]</w:t>
      </w:r>
      <w:r w:rsidRPr="005A1ACE">
        <w:rPr>
          <w:rFonts w:ascii="Verdana" w:hAnsi="Verdana"/>
          <w:i/>
          <w:iCs/>
          <w:sz w:val="22"/>
          <w:szCs w:val="22"/>
        </w:rPr>
        <w:t> distritales, departamentales</w:t>
      </w:r>
      <w:r w:rsidRPr="005A1ACE">
        <w:rPr>
          <w:rFonts w:ascii="Verdana" w:hAnsi="Verdana"/>
          <w:i/>
          <w:iCs/>
          <w:sz w:val="22"/>
          <w:szCs w:val="22"/>
          <w:vertAlign w:val="subscript"/>
        </w:rPr>
        <w:t>[6]</w:t>
      </w:r>
      <w:r w:rsidRPr="005A1ACE">
        <w:rPr>
          <w:rFonts w:ascii="Verdana" w:hAnsi="Verdana"/>
          <w:i/>
          <w:iCs/>
          <w:sz w:val="22"/>
          <w:szCs w:val="22"/>
        </w:rPr>
        <w:t> y nacionales</w:t>
      </w:r>
      <w:r w:rsidRPr="005A1ACE">
        <w:rPr>
          <w:rFonts w:ascii="Verdana" w:hAnsi="Verdana"/>
          <w:i/>
          <w:iCs/>
          <w:sz w:val="22"/>
          <w:szCs w:val="22"/>
          <w:vertAlign w:val="subscript"/>
        </w:rPr>
        <w:t>[7]</w:t>
      </w:r>
      <w:r w:rsidRPr="005A1ACE">
        <w:rPr>
          <w:rFonts w:ascii="Verdana" w:hAnsi="Verdana"/>
          <w:sz w:val="22"/>
          <w:szCs w:val="22"/>
        </w:rPr>
        <w:t> son los espacios que garantizan la participación efectiva a las víctimas, pues están destinadas para la discusión, interlocución, retroalimentación, capacitación y seguimiento de las disposiciones contenidas en la Ley 1448 de 2011; y tiene dentro de sus funciones la de </w:t>
      </w:r>
      <w:r w:rsidRPr="005A1ACE">
        <w:rPr>
          <w:rFonts w:ascii="Verdana" w:hAnsi="Verdana"/>
          <w:i/>
          <w:iCs/>
          <w:sz w:val="22"/>
          <w:szCs w:val="22"/>
        </w:rPr>
        <w:t>"propiciar inclusión temática que busquen garantizar la participación efectiva y los derechos de la mujer, </w:t>
      </w:r>
      <w:r w:rsidRPr="005A1ACE">
        <w:rPr>
          <w:rFonts w:ascii="Verdana" w:hAnsi="Verdana"/>
          <w:b/>
          <w:bCs/>
          <w:i/>
          <w:iCs/>
          <w:sz w:val="22"/>
          <w:szCs w:val="22"/>
        </w:rPr>
        <w:t>niños, niñas y adolescentes, </w:t>
      </w:r>
      <w:r w:rsidRPr="005A1ACE">
        <w:rPr>
          <w:rFonts w:ascii="Verdana" w:hAnsi="Verdana"/>
          <w:i/>
          <w:iCs/>
          <w:sz w:val="22"/>
          <w:szCs w:val="22"/>
        </w:rPr>
        <w:t>adultos mayores, y de las víctimas con discapacidad”.</w:t>
      </w:r>
    </w:p>
    <w:p w14:paraId="2BE92BED" w14:textId="77777777" w:rsidR="00234427" w:rsidRPr="005A1ACE" w:rsidRDefault="00234427" w:rsidP="005A1AC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sz w:val="22"/>
          <w:szCs w:val="22"/>
        </w:rPr>
        <w:t>2. </w:t>
      </w:r>
      <w:r w:rsidRPr="005A1ACE">
        <w:rPr>
          <w:rFonts w:ascii="Verdana" w:hAnsi="Verdana"/>
          <w:b/>
          <w:bCs/>
          <w:sz w:val="22"/>
          <w:szCs w:val="22"/>
        </w:rPr>
        <w:t>Sobre un Protocolo de participación efectiva diferenciado para niños, niñas y adolescentes víctimas del conflicto armado</w:t>
      </w:r>
    </w:p>
    <w:p w14:paraId="2B46EF74" w14:textId="77777777" w:rsidR="00234427" w:rsidRPr="005A1ACE" w:rsidRDefault="00234427" w:rsidP="005A1AC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sz w:val="22"/>
          <w:szCs w:val="22"/>
        </w:rPr>
        <w:t xml:space="preserve">La ley de víctimas señala </w:t>
      </w:r>
      <w:proofErr w:type="gramStart"/>
      <w:r w:rsidRPr="005A1ACE">
        <w:rPr>
          <w:rFonts w:ascii="Verdana" w:hAnsi="Verdana"/>
          <w:sz w:val="22"/>
          <w:szCs w:val="22"/>
        </w:rPr>
        <w:t>que</w:t>
      </w:r>
      <w:proofErr w:type="gramEnd"/>
      <w:r w:rsidRPr="005A1ACE">
        <w:rPr>
          <w:rFonts w:ascii="Verdana" w:hAnsi="Verdana"/>
          <w:sz w:val="22"/>
          <w:szCs w:val="22"/>
        </w:rPr>
        <w:t xml:space="preserve"> para garantizarse la participación efectiva, deberá construirse un </w:t>
      </w:r>
      <w:r w:rsidRPr="005A1ACE">
        <w:rPr>
          <w:rFonts w:ascii="Verdana" w:hAnsi="Verdana"/>
          <w:i/>
          <w:iCs/>
          <w:sz w:val="22"/>
          <w:szCs w:val="22"/>
        </w:rPr>
        <w:t>protocolo</w:t>
      </w:r>
      <w:r w:rsidRPr="005A1ACE">
        <w:rPr>
          <w:rFonts w:ascii="Verdana" w:hAnsi="Verdana"/>
          <w:sz w:val="22"/>
          <w:szCs w:val="22"/>
        </w:rPr>
        <w:t> en el cual se determinen las garantías, condiciones e incentivos necesarios para concretar el derecho a la participación.</w:t>
      </w:r>
      <w:r w:rsidRPr="005A1ACE">
        <w:rPr>
          <w:rFonts w:ascii="Verdana" w:hAnsi="Verdana"/>
          <w:sz w:val="22"/>
          <w:szCs w:val="22"/>
          <w:vertAlign w:val="subscript"/>
        </w:rPr>
        <w:t>[8]</w:t>
      </w:r>
      <w:r w:rsidRPr="005A1ACE">
        <w:rPr>
          <w:rFonts w:ascii="Verdana" w:hAnsi="Verdana"/>
          <w:sz w:val="22"/>
          <w:szCs w:val="22"/>
        </w:rPr>
        <w:t> El diseño de dicho </w:t>
      </w:r>
      <w:r w:rsidRPr="005A1ACE">
        <w:rPr>
          <w:rFonts w:ascii="Verdana" w:hAnsi="Verdana"/>
          <w:i/>
          <w:iCs/>
          <w:sz w:val="22"/>
          <w:szCs w:val="22"/>
        </w:rPr>
        <w:t>protocolo</w:t>
      </w:r>
      <w:r w:rsidRPr="005A1ACE">
        <w:rPr>
          <w:rFonts w:ascii="Verdana" w:hAnsi="Verdana"/>
          <w:sz w:val="22"/>
          <w:szCs w:val="22"/>
        </w:rPr>
        <w:t> estará a cargo de la Unidad Administrativa para la Atención y Reparación Integral a las Víctimas con concurrencia de las entidades territoriales del nivel municipal y distrital.</w:t>
      </w:r>
      <w:r w:rsidRPr="005A1ACE">
        <w:rPr>
          <w:rFonts w:ascii="Verdana" w:hAnsi="Verdana"/>
          <w:sz w:val="22"/>
          <w:szCs w:val="22"/>
          <w:vertAlign w:val="subscript"/>
        </w:rPr>
        <w:t>[9]</w:t>
      </w:r>
      <w:r w:rsidRPr="005A1ACE">
        <w:rPr>
          <w:rFonts w:ascii="Verdana" w:hAnsi="Verdana"/>
          <w:sz w:val="22"/>
          <w:szCs w:val="22"/>
        </w:rPr>
        <w:t>. En la construcción de este documento se deberá tener en cuenta unos mínimos, dentro de los cuales está:</w:t>
      </w:r>
    </w:p>
    <w:p w14:paraId="5B5CEC23" w14:textId="7E3CA924" w:rsidR="00234427" w:rsidRPr="005A1ACE" w:rsidRDefault="00234427" w:rsidP="005A1AC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i/>
          <w:iCs/>
          <w:sz w:val="22"/>
          <w:szCs w:val="22"/>
        </w:rPr>
        <w:t xml:space="preserve">ARTÍCULO 286: Criterios para la construcción del protocolo de participación efectiva. El Protocolo de Participación Efectiva es el instrumento que establece las garantías, las condiciones y los incentivos para concretar el derecho a la participación de las víctimas, fija los parámetros que orientan el funcionamiento </w:t>
      </w:r>
      <w:r w:rsidRPr="005A1ACE">
        <w:rPr>
          <w:rFonts w:ascii="Verdana" w:hAnsi="Verdana"/>
          <w:i/>
          <w:iCs/>
          <w:sz w:val="22"/>
          <w:szCs w:val="22"/>
        </w:rPr>
        <w:lastRenderedPageBreak/>
        <w:t>de las mesas de participación y de los demás espacios de participación establecidos en la ley 1448 de 2011. El Protocolo de Participación Efectiva deberá contemplar como mínimo los siguientes aspectos:</w:t>
      </w:r>
    </w:p>
    <w:p w14:paraId="16DBE0FF" w14:textId="77777777" w:rsidR="00234427" w:rsidRPr="005A1ACE" w:rsidRDefault="00234427" w:rsidP="005A1AC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i/>
          <w:iCs/>
          <w:sz w:val="22"/>
          <w:szCs w:val="22"/>
          <w:u w:val="single"/>
        </w:rPr>
        <w:t>12. Determinación de mecanismos para que las Mesas de Participación y las entidades encargadas de implementar los planes y programas recojan observaciones y recomendaciones por parte de grupos con dificultades para participar</w:t>
      </w:r>
      <w:r w:rsidRPr="005A1ACE">
        <w:rPr>
          <w:rFonts w:ascii="Verdana" w:hAnsi="Verdana"/>
          <w:i/>
          <w:iCs/>
          <w:sz w:val="22"/>
          <w:szCs w:val="22"/>
        </w:rPr>
        <w:t> en los espacios de participación, </w:t>
      </w:r>
      <w:r w:rsidRPr="005A1ACE">
        <w:rPr>
          <w:rFonts w:ascii="Verdana" w:hAnsi="Verdana"/>
          <w:i/>
          <w:iCs/>
          <w:sz w:val="22"/>
          <w:szCs w:val="22"/>
          <w:u w:val="single"/>
        </w:rPr>
        <w:t>como niños, niñas y adolescentes,</w:t>
      </w:r>
      <w:r w:rsidRPr="005A1ACE">
        <w:rPr>
          <w:rFonts w:ascii="Verdana" w:hAnsi="Verdana"/>
          <w:i/>
          <w:iCs/>
          <w:sz w:val="22"/>
          <w:szCs w:val="22"/>
        </w:rPr>
        <w:t> jóvenes y población con algún tipo de discapacidad.</w:t>
      </w:r>
    </w:p>
    <w:p w14:paraId="0C5347CB" w14:textId="77777777" w:rsidR="00234427" w:rsidRPr="005A1ACE" w:rsidRDefault="00234427" w:rsidP="005A1AC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sz w:val="22"/>
          <w:szCs w:val="22"/>
        </w:rPr>
        <w:t>En virtud de lo anterior, al expedirse la </w:t>
      </w:r>
      <w:r w:rsidRPr="005A1ACE">
        <w:rPr>
          <w:rFonts w:ascii="Verdana" w:hAnsi="Verdana"/>
          <w:b/>
          <w:bCs/>
          <w:sz w:val="22"/>
          <w:szCs w:val="22"/>
        </w:rPr>
        <w:t>Resolución 0388 de 2013</w:t>
      </w:r>
      <w:r w:rsidRPr="005A1ACE">
        <w:rPr>
          <w:rFonts w:ascii="Verdana" w:hAnsi="Verdana"/>
          <w:sz w:val="22"/>
          <w:szCs w:val="22"/>
        </w:rPr>
        <w:t>, por medio de la cual se adopta el Protocolo de participación Efectiva de las Víctimas del Conflicto Armado, se dispuso en artículo 40 la creación de un </w:t>
      </w:r>
      <w:r w:rsidRPr="005A1ACE">
        <w:rPr>
          <w:rFonts w:ascii="Verdana" w:hAnsi="Verdana"/>
          <w:i/>
          <w:iCs/>
          <w:sz w:val="22"/>
          <w:szCs w:val="22"/>
        </w:rPr>
        <w:t>protocolo especial de participación para niños, niñas y adolescentes,</w:t>
      </w:r>
      <w:r w:rsidRPr="005A1ACE">
        <w:rPr>
          <w:rFonts w:ascii="Verdana" w:hAnsi="Verdana"/>
          <w:sz w:val="22"/>
          <w:szCs w:val="22"/>
        </w:rPr>
        <w:t> en el cual se establezcan las condiciones necesarias, acordes al desarrollo de los niños, niñas y adolescentes con el fin de garantizar este derecho y permitir la discusión, aprobación, ejecución y evaluación de la política pública bajo este enfoque diferencial.</w:t>
      </w:r>
    </w:p>
    <w:p w14:paraId="71F5F037" w14:textId="77777777" w:rsidR="00234427" w:rsidRPr="005A1ACE" w:rsidRDefault="00234427" w:rsidP="005A1AC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b/>
          <w:bCs/>
          <w:sz w:val="22"/>
          <w:szCs w:val="22"/>
        </w:rPr>
        <w:t>CONCLUSIÓN</w:t>
      </w:r>
    </w:p>
    <w:p w14:paraId="030D5409" w14:textId="77777777" w:rsidR="00234427" w:rsidRPr="005A1ACE" w:rsidRDefault="00234427" w:rsidP="005A1AC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sz w:val="22"/>
          <w:szCs w:val="22"/>
        </w:rPr>
        <w:t>Así las cosas, no existe duda alguna de la viabilidad jurídica para la elaboración de un </w:t>
      </w:r>
      <w:r w:rsidRPr="005A1ACE">
        <w:rPr>
          <w:rFonts w:ascii="Verdana" w:hAnsi="Verdana"/>
          <w:i/>
          <w:iCs/>
          <w:sz w:val="22"/>
          <w:szCs w:val="22"/>
        </w:rPr>
        <w:t>Protocolo de Participación Efectiva de niños, niñas y adolescentes víctimas del conflicto armado,</w:t>
      </w:r>
      <w:r w:rsidRPr="005A1ACE">
        <w:rPr>
          <w:rFonts w:ascii="Verdana" w:hAnsi="Verdana"/>
          <w:sz w:val="22"/>
          <w:szCs w:val="22"/>
        </w:rPr>
        <w:t> y que este deberá tener en cuenta en su diseño los mínimos anteriormente expuestos, así como las observaciones precisas hechas sobre la estructura del documento que se anexan al presente documento.</w:t>
      </w:r>
    </w:p>
    <w:p w14:paraId="315DA008" w14:textId="77777777" w:rsidR="00234427" w:rsidRPr="005A1ACE" w:rsidRDefault="00234427" w:rsidP="005A1AC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sz w:val="22"/>
          <w:szCs w:val="22"/>
        </w:rPr>
        <w:t>Finalmente, se recuerda que la Oficina Asesora Jurídica, esta presta a colaborar en la asesoría legal que se requiera.</w:t>
      </w:r>
    </w:p>
    <w:p w14:paraId="096A9713" w14:textId="77777777" w:rsidR="00095582" w:rsidRDefault="00095582" w:rsidP="005A1ACE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6FD126AD" w14:textId="31B860E9" w:rsidR="00234427" w:rsidRDefault="00234427" w:rsidP="005A1AC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sz w:val="22"/>
          <w:szCs w:val="22"/>
        </w:rPr>
        <w:t>Cordialmente,</w:t>
      </w:r>
    </w:p>
    <w:p w14:paraId="45C5AE89" w14:textId="77777777" w:rsidR="00234427" w:rsidRPr="005A1ACE" w:rsidRDefault="00234427" w:rsidP="005A1AC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b/>
          <w:bCs/>
          <w:sz w:val="22"/>
          <w:szCs w:val="22"/>
        </w:rPr>
        <w:t>LUISA MARINA BALLESTEROS ARISTIZABAL</w:t>
      </w:r>
    </w:p>
    <w:p w14:paraId="78F0EF56" w14:textId="3C016A4B" w:rsidR="00234427" w:rsidRDefault="00234427" w:rsidP="005A1AC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5A1ACE">
        <w:rPr>
          <w:rFonts w:ascii="Verdana" w:hAnsi="Verdana"/>
          <w:sz w:val="22"/>
          <w:szCs w:val="22"/>
        </w:rPr>
        <w:t>Jefe Oficina Asesora Jurídica</w:t>
      </w:r>
    </w:p>
    <w:p w14:paraId="4453B5C5" w14:textId="77777777" w:rsidR="00A35C18" w:rsidRDefault="00A35C18" w:rsidP="005A1ACE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3E76E42A" w14:textId="7EA691A3" w:rsidR="00A35C18" w:rsidRPr="00A35C18" w:rsidRDefault="00A35C18" w:rsidP="005A1ACE">
      <w:pPr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  <w:r w:rsidRPr="00A35C18">
        <w:rPr>
          <w:rFonts w:ascii="Verdana" w:hAnsi="Verdana"/>
          <w:b/>
          <w:bCs/>
          <w:sz w:val="22"/>
          <w:szCs w:val="22"/>
        </w:rPr>
        <w:t>Notas Pie de Página:</w:t>
      </w:r>
    </w:p>
    <w:p w14:paraId="4E1AB8FE" w14:textId="06891A88" w:rsidR="00234427" w:rsidRPr="00A35C18" w:rsidRDefault="00234427" w:rsidP="00A35C18">
      <w:pPr>
        <w:pStyle w:val="Prrafodelista"/>
        <w:numPr>
          <w:ilvl w:val="0"/>
          <w:numId w:val="28"/>
        </w:numPr>
        <w:spacing w:line="276" w:lineRule="auto"/>
        <w:jc w:val="both"/>
        <w:rPr>
          <w:rFonts w:ascii="Verdana" w:hAnsi="Verdana"/>
          <w:sz w:val="22"/>
          <w:szCs w:val="22"/>
        </w:rPr>
      </w:pPr>
      <w:r w:rsidRPr="00A35C18">
        <w:rPr>
          <w:rFonts w:ascii="Verdana" w:hAnsi="Verdana"/>
          <w:sz w:val="22"/>
          <w:szCs w:val="22"/>
        </w:rPr>
        <w:t>Ley 1448 de 2011, artículo 28.</w:t>
      </w:r>
    </w:p>
    <w:p w14:paraId="7237C0C3" w14:textId="7E4C327A" w:rsidR="00234427" w:rsidRPr="00A35C18" w:rsidRDefault="00234427" w:rsidP="00A35C18">
      <w:pPr>
        <w:pStyle w:val="Prrafodelista"/>
        <w:numPr>
          <w:ilvl w:val="0"/>
          <w:numId w:val="28"/>
        </w:numPr>
        <w:spacing w:line="276" w:lineRule="auto"/>
        <w:jc w:val="both"/>
        <w:rPr>
          <w:rFonts w:ascii="Verdana" w:hAnsi="Verdana"/>
          <w:sz w:val="22"/>
          <w:szCs w:val="22"/>
        </w:rPr>
      </w:pPr>
      <w:r w:rsidRPr="00A35C18">
        <w:rPr>
          <w:rFonts w:ascii="Verdana" w:hAnsi="Verdana"/>
          <w:sz w:val="22"/>
          <w:szCs w:val="22"/>
        </w:rPr>
        <w:t xml:space="preserve">Ley 1448 de 2011, ARTÍCULO 192. Es deber del Estado garantizar la participación efectiva de las víctimas en el diseño, implementación, ejecución y sentimiento al cumplimiento de la ley y los planes, proyectos y programas que se creen con ocasión de </w:t>
      </w:r>
      <w:proofErr w:type="gramStart"/>
      <w:r w:rsidRPr="00A35C18">
        <w:rPr>
          <w:rFonts w:ascii="Verdana" w:hAnsi="Verdana"/>
          <w:sz w:val="22"/>
          <w:szCs w:val="22"/>
        </w:rPr>
        <w:t>la misma</w:t>
      </w:r>
      <w:proofErr w:type="gramEnd"/>
      <w:r w:rsidRPr="00A35C18">
        <w:rPr>
          <w:rFonts w:ascii="Verdana" w:hAnsi="Verdana"/>
          <w:sz w:val="22"/>
          <w:szCs w:val="22"/>
        </w:rPr>
        <w:t>. Para esto se deberá hacer uso de los mecanismos democráticos previstos en la Constitución y la ley, para lo cual deberá, entre otros:</w:t>
      </w:r>
    </w:p>
    <w:p w14:paraId="5FEAE689" w14:textId="77777777" w:rsidR="00234427" w:rsidRPr="00A35C18" w:rsidRDefault="00234427" w:rsidP="00A35C18">
      <w:pPr>
        <w:pStyle w:val="Prrafodelista"/>
        <w:spacing w:line="276" w:lineRule="auto"/>
        <w:jc w:val="both"/>
        <w:rPr>
          <w:rFonts w:ascii="Verdana" w:hAnsi="Verdana"/>
          <w:sz w:val="22"/>
          <w:szCs w:val="22"/>
        </w:rPr>
      </w:pPr>
      <w:r w:rsidRPr="00A35C18">
        <w:rPr>
          <w:rFonts w:ascii="Verdana" w:hAnsi="Verdana"/>
          <w:sz w:val="22"/>
          <w:szCs w:val="22"/>
        </w:rPr>
        <w:lastRenderedPageBreak/>
        <w:t>Garantizar la disposición de los medios e instrumentos necesarios para la elección de sus representantes en las instancias de decisión y seguimiento previstas en esta ley, el acceso a la información, el diseño de espacios de participación adecuados para la efectiva participación de las víctimas en los niveles nacional, departamental y municipal.</w:t>
      </w:r>
    </w:p>
    <w:p w14:paraId="519AEC9C" w14:textId="39EA0352" w:rsidR="00234427" w:rsidRPr="00A35C18" w:rsidRDefault="00234427" w:rsidP="00A35C18">
      <w:pPr>
        <w:pStyle w:val="Prrafodelista"/>
        <w:spacing w:line="276" w:lineRule="auto"/>
        <w:jc w:val="both"/>
        <w:rPr>
          <w:rFonts w:ascii="Verdana" w:hAnsi="Verdana"/>
          <w:sz w:val="22"/>
          <w:szCs w:val="22"/>
        </w:rPr>
      </w:pPr>
      <w:r w:rsidRPr="00A35C18">
        <w:rPr>
          <w:rFonts w:ascii="Verdana" w:hAnsi="Verdana"/>
          <w:sz w:val="22"/>
          <w:szCs w:val="22"/>
        </w:rPr>
        <w:t>Llevar a cabo ejercicios de rendición de cuentas sobre el cumplimiento de los planes, proyectos y programas que se diseñen y ejecuten en el marco de esta ley y en cumplimiento de lo dispuesto por el artículo 209 de la Constitución Política. Estos ejercicios deberán contar con la participación de las organizaciones de víctimas.</w:t>
      </w:r>
    </w:p>
    <w:p w14:paraId="3F740A84" w14:textId="59B80C87" w:rsidR="00234427" w:rsidRPr="00A35C18" w:rsidRDefault="00234427" w:rsidP="00A35C18">
      <w:pPr>
        <w:pStyle w:val="Prrafodelista"/>
        <w:numPr>
          <w:ilvl w:val="0"/>
          <w:numId w:val="27"/>
        </w:numPr>
        <w:spacing w:line="276" w:lineRule="auto"/>
        <w:jc w:val="both"/>
        <w:rPr>
          <w:rFonts w:ascii="Verdana" w:hAnsi="Verdana"/>
          <w:sz w:val="22"/>
          <w:szCs w:val="22"/>
        </w:rPr>
      </w:pPr>
      <w:r w:rsidRPr="00A35C18">
        <w:rPr>
          <w:rFonts w:ascii="Verdana" w:hAnsi="Verdana"/>
          <w:sz w:val="22"/>
          <w:szCs w:val="22"/>
        </w:rPr>
        <w:t>Decreto 4800 de 2011, artículo 261.</w:t>
      </w:r>
    </w:p>
    <w:p w14:paraId="61C44EBB" w14:textId="2E48AF64" w:rsidR="00234427" w:rsidRPr="00A35C18" w:rsidRDefault="00234427" w:rsidP="00A35C18">
      <w:pPr>
        <w:pStyle w:val="Prrafodelista"/>
        <w:numPr>
          <w:ilvl w:val="0"/>
          <w:numId w:val="27"/>
        </w:numPr>
        <w:spacing w:line="276" w:lineRule="auto"/>
        <w:jc w:val="both"/>
        <w:rPr>
          <w:rFonts w:ascii="Verdana" w:hAnsi="Verdana"/>
          <w:sz w:val="22"/>
          <w:szCs w:val="22"/>
        </w:rPr>
      </w:pPr>
      <w:r w:rsidRPr="00A35C18">
        <w:rPr>
          <w:rFonts w:ascii="Verdana" w:hAnsi="Verdana"/>
          <w:sz w:val="22"/>
          <w:szCs w:val="22"/>
        </w:rPr>
        <w:t>Decreto 4800 de 2011, artículo 264.</w:t>
      </w:r>
    </w:p>
    <w:p w14:paraId="430D4189" w14:textId="0A7D80CB" w:rsidR="00234427" w:rsidRPr="00A35C18" w:rsidRDefault="00234427" w:rsidP="00A35C18">
      <w:pPr>
        <w:pStyle w:val="Prrafodelista"/>
        <w:numPr>
          <w:ilvl w:val="0"/>
          <w:numId w:val="27"/>
        </w:numPr>
        <w:spacing w:line="276" w:lineRule="auto"/>
        <w:jc w:val="both"/>
        <w:rPr>
          <w:rFonts w:ascii="Verdana" w:hAnsi="Verdana"/>
          <w:sz w:val="22"/>
          <w:szCs w:val="22"/>
        </w:rPr>
      </w:pPr>
      <w:r w:rsidRPr="00A35C18">
        <w:rPr>
          <w:rFonts w:ascii="Verdana" w:hAnsi="Verdana"/>
          <w:sz w:val="22"/>
          <w:szCs w:val="22"/>
        </w:rPr>
        <w:t>Decreto 4800 de 2011, artículo 274.</w:t>
      </w:r>
    </w:p>
    <w:p w14:paraId="6E980A4B" w14:textId="191A1F99" w:rsidR="00234427" w:rsidRPr="00A35C18" w:rsidRDefault="00234427" w:rsidP="00A35C18">
      <w:pPr>
        <w:pStyle w:val="Prrafodelista"/>
        <w:numPr>
          <w:ilvl w:val="0"/>
          <w:numId w:val="27"/>
        </w:numPr>
        <w:spacing w:line="276" w:lineRule="auto"/>
        <w:jc w:val="both"/>
        <w:rPr>
          <w:rFonts w:ascii="Verdana" w:hAnsi="Verdana"/>
          <w:sz w:val="22"/>
          <w:szCs w:val="22"/>
        </w:rPr>
      </w:pPr>
      <w:r w:rsidRPr="00A35C18">
        <w:rPr>
          <w:rFonts w:ascii="Verdana" w:hAnsi="Verdana"/>
          <w:sz w:val="22"/>
          <w:szCs w:val="22"/>
        </w:rPr>
        <w:t>Decreto 4800 de 2011, artículo 275.</w:t>
      </w:r>
    </w:p>
    <w:p w14:paraId="59CFE42B" w14:textId="678FE2CA" w:rsidR="00234427" w:rsidRPr="00A35C18" w:rsidRDefault="00234427" w:rsidP="00A35C18">
      <w:pPr>
        <w:pStyle w:val="Prrafodelista"/>
        <w:numPr>
          <w:ilvl w:val="0"/>
          <w:numId w:val="27"/>
        </w:numPr>
        <w:spacing w:line="276" w:lineRule="auto"/>
        <w:jc w:val="both"/>
        <w:rPr>
          <w:rFonts w:ascii="Verdana" w:hAnsi="Verdana"/>
          <w:sz w:val="22"/>
          <w:szCs w:val="22"/>
        </w:rPr>
      </w:pPr>
      <w:r w:rsidRPr="00A35C18">
        <w:rPr>
          <w:rFonts w:ascii="Verdana" w:hAnsi="Verdana"/>
          <w:sz w:val="22"/>
          <w:szCs w:val="22"/>
        </w:rPr>
        <w:t>Decreto 4800 de 2011, artículo 276.</w:t>
      </w:r>
    </w:p>
    <w:p w14:paraId="17712874" w14:textId="09010137" w:rsidR="00234427" w:rsidRPr="00A35C18" w:rsidRDefault="00234427" w:rsidP="00A35C18">
      <w:pPr>
        <w:pStyle w:val="Prrafodelista"/>
        <w:numPr>
          <w:ilvl w:val="0"/>
          <w:numId w:val="27"/>
        </w:numPr>
        <w:spacing w:line="276" w:lineRule="auto"/>
        <w:jc w:val="both"/>
        <w:rPr>
          <w:rFonts w:ascii="Verdana" w:hAnsi="Verdana"/>
          <w:sz w:val="22"/>
          <w:szCs w:val="22"/>
        </w:rPr>
      </w:pPr>
      <w:r w:rsidRPr="00A35C18">
        <w:rPr>
          <w:rFonts w:ascii="Verdana" w:hAnsi="Verdana"/>
          <w:sz w:val="22"/>
          <w:szCs w:val="22"/>
        </w:rPr>
        <w:t>Ley 1448 de 2011, artículo 194.</w:t>
      </w:r>
    </w:p>
    <w:p w14:paraId="6B29B405" w14:textId="32605794" w:rsidR="00234427" w:rsidRPr="00A35C18" w:rsidRDefault="00234427" w:rsidP="00A35C18">
      <w:pPr>
        <w:pStyle w:val="Prrafodelista"/>
        <w:numPr>
          <w:ilvl w:val="0"/>
          <w:numId w:val="27"/>
        </w:numPr>
        <w:spacing w:line="276" w:lineRule="auto"/>
        <w:jc w:val="both"/>
        <w:rPr>
          <w:rFonts w:ascii="Verdana" w:hAnsi="Verdana"/>
          <w:sz w:val="22"/>
          <w:szCs w:val="22"/>
        </w:rPr>
      </w:pPr>
      <w:r w:rsidRPr="00A35C18">
        <w:rPr>
          <w:rFonts w:ascii="Verdana" w:hAnsi="Verdana"/>
          <w:sz w:val="22"/>
          <w:szCs w:val="22"/>
        </w:rPr>
        <w:t>Decreto 4800 de 2011. artículo 285</w:t>
      </w:r>
    </w:p>
    <w:p w14:paraId="4D77D58F" w14:textId="1C0DDEC6" w:rsidR="008161D5" w:rsidRPr="005A1ACE" w:rsidRDefault="008161D5" w:rsidP="005A1ACE">
      <w:pPr>
        <w:spacing w:line="276" w:lineRule="auto"/>
        <w:jc w:val="both"/>
        <w:rPr>
          <w:rFonts w:ascii="Verdana" w:hAnsi="Verdana"/>
          <w:sz w:val="22"/>
          <w:szCs w:val="22"/>
          <w:lang w:val="es-ES"/>
        </w:rPr>
      </w:pPr>
    </w:p>
    <w:sectPr w:rsidR="008161D5" w:rsidRPr="005A1ACE" w:rsidSect="00DB49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71B6"/>
    <w:multiLevelType w:val="hybridMultilevel"/>
    <w:tmpl w:val="2666905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2933"/>
    <w:multiLevelType w:val="hybridMultilevel"/>
    <w:tmpl w:val="BEC06F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97C03"/>
    <w:multiLevelType w:val="hybridMultilevel"/>
    <w:tmpl w:val="5A54C01C"/>
    <w:lvl w:ilvl="0" w:tplc="B6BA6B9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25AD0"/>
    <w:multiLevelType w:val="hybridMultilevel"/>
    <w:tmpl w:val="F64A04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50B87"/>
    <w:multiLevelType w:val="hybridMultilevel"/>
    <w:tmpl w:val="039CECC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61D01"/>
    <w:multiLevelType w:val="hybridMultilevel"/>
    <w:tmpl w:val="C910FC0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A7F8F"/>
    <w:multiLevelType w:val="hybridMultilevel"/>
    <w:tmpl w:val="B5C85B2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65DD9"/>
    <w:multiLevelType w:val="hybridMultilevel"/>
    <w:tmpl w:val="15AAA04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464C3"/>
    <w:multiLevelType w:val="hybridMultilevel"/>
    <w:tmpl w:val="B7E8ADB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A77DD"/>
    <w:multiLevelType w:val="hybridMultilevel"/>
    <w:tmpl w:val="0D4682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6393A"/>
    <w:multiLevelType w:val="hybridMultilevel"/>
    <w:tmpl w:val="49D6F1A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D59EB"/>
    <w:multiLevelType w:val="hybridMultilevel"/>
    <w:tmpl w:val="AAE80BD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820414"/>
    <w:multiLevelType w:val="hybridMultilevel"/>
    <w:tmpl w:val="2B1AF28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F4A7B"/>
    <w:multiLevelType w:val="hybridMultilevel"/>
    <w:tmpl w:val="0B922DB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366C0A"/>
    <w:multiLevelType w:val="hybridMultilevel"/>
    <w:tmpl w:val="F6C6A01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B5FFD"/>
    <w:multiLevelType w:val="hybridMultilevel"/>
    <w:tmpl w:val="4FF855E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6E05D0"/>
    <w:multiLevelType w:val="hybridMultilevel"/>
    <w:tmpl w:val="0C6CF57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6C1372"/>
    <w:multiLevelType w:val="hybridMultilevel"/>
    <w:tmpl w:val="244015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72318"/>
    <w:multiLevelType w:val="hybridMultilevel"/>
    <w:tmpl w:val="351CEED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C51B72"/>
    <w:multiLevelType w:val="hybridMultilevel"/>
    <w:tmpl w:val="9496A6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3D0FBD"/>
    <w:multiLevelType w:val="hybridMultilevel"/>
    <w:tmpl w:val="162883B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994218"/>
    <w:multiLevelType w:val="hybridMultilevel"/>
    <w:tmpl w:val="88EE7C8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0A5225"/>
    <w:multiLevelType w:val="hybridMultilevel"/>
    <w:tmpl w:val="7B2016C2"/>
    <w:lvl w:ilvl="0" w:tplc="78140202">
      <w:start w:val="1"/>
      <w:numFmt w:val="decimal"/>
      <w:lvlText w:val="%1."/>
      <w:lvlJc w:val="left"/>
      <w:pPr>
        <w:ind w:left="730" w:hanging="37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A455E2"/>
    <w:multiLevelType w:val="hybridMultilevel"/>
    <w:tmpl w:val="3D428E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3F6D31"/>
    <w:multiLevelType w:val="hybridMultilevel"/>
    <w:tmpl w:val="C7FA427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A66895"/>
    <w:multiLevelType w:val="hybridMultilevel"/>
    <w:tmpl w:val="DFC40A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815CF4"/>
    <w:multiLevelType w:val="hybridMultilevel"/>
    <w:tmpl w:val="9FD4F1C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3D4134"/>
    <w:multiLevelType w:val="hybridMultilevel"/>
    <w:tmpl w:val="65BE905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766499">
    <w:abstractNumId w:val="3"/>
  </w:num>
  <w:num w:numId="2" w16cid:durableId="617832031">
    <w:abstractNumId w:val="15"/>
  </w:num>
  <w:num w:numId="3" w16cid:durableId="1094323177">
    <w:abstractNumId w:val="23"/>
  </w:num>
  <w:num w:numId="4" w16cid:durableId="1223904190">
    <w:abstractNumId w:val="27"/>
  </w:num>
  <w:num w:numId="5" w16cid:durableId="700787827">
    <w:abstractNumId w:val="24"/>
  </w:num>
  <w:num w:numId="6" w16cid:durableId="708604463">
    <w:abstractNumId w:val="14"/>
  </w:num>
  <w:num w:numId="7" w16cid:durableId="1036464083">
    <w:abstractNumId w:val="25"/>
  </w:num>
  <w:num w:numId="8" w16cid:durableId="1974091306">
    <w:abstractNumId w:val="0"/>
  </w:num>
  <w:num w:numId="9" w16cid:durableId="756711159">
    <w:abstractNumId w:val="10"/>
  </w:num>
  <w:num w:numId="10" w16cid:durableId="2140024232">
    <w:abstractNumId w:val="11"/>
  </w:num>
  <w:num w:numId="11" w16cid:durableId="748578350">
    <w:abstractNumId w:val="22"/>
  </w:num>
  <w:num w:numId="12" w16cid:durableId="202593356">
    <w:abstractNumId w:val="8"/>
  </w:num>
  <w:num w:numId="13" w16cid:durableId="565143295">
    <w:abstractNumId w:val="17"/>
  </w:num>
  <w:num w:numId="14" w16cid:durableId="646282511">
    <w:abstractNumId w:val="26"/>
  </w:num>
  <w:num w:numId="15" w16cid:durableId="1403874449">
    <w:abstractNumId w:val="19"/>
  </w:num>
  <w:num w:numId="16" w16cid:durableId="94600144">
    <w:abstractNumId w:val="7"/>
  </w:num>
  <w:num w:numId="17" w16cid:durableId="1793405570">
    <w:abstractNumId w:val="1"/>
  </w:num>
  <w:num w:numId="18" w16cid:durableId="955141426">
    <w:abstractNumId w:val="12"/>
  </w:num>
  <w:num w:numId="19" w16cid:durableId="840704667">
    <w:abstractNumId w:val="2"/>
  </w:num>
  <w:num w:numId="20" w16cid:durableId="407578416">
    <w:abstractNumId w:val="5"/>
  </w:num>
  <w:num w:numId="21" w16cid:durableId="1691759298">
    <w:abstractNumId w:val="9"/>
  </w:num>
  <w:num w:numId="22" w16cid:durableId="2044867475">
    <w:abstractNumId w:val="18"/>
  </w:num>
  <w:num w:numId="23" w16cid:durableId="884368567">
    <w:abstractNumId w:val="16"/>
  </w:num>
  <w:num w:numId="24" w16cid:durableId="21981315">
    <w:abstractNumId w:val="21"/>
  </w:num>
  <w:num w:numId="25" w16cid:durableId="2030140972">
    <w:abstractNumId w:val="13"/>
  </w:num>
  <w:num w:numId="26" w16cid:durableId="714164175">
    <w:abstractNumId w:val="4"/>
  </w:num>
  <w:num w:numId="27" w16cid:durableId="114645075">
    <w:abstractNumId w:val="6"/>
  </w:num>
  <w:num w:numId="28" w16cid:durableId="2442547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640"/>
    <w:rsid w:val="00001A37"/>
    <w:rsid w:val="00026D08"/>
    <w:rsid w:val="00046557"/>
    <w:rsid w:val="0007791F"/>
    <w:rsid w:val="00095582"/>
    <w:rsid w:val="000B6B07"/>
    <w:rsid w:val="000F1D1A"/>
    <w:rsid w:val="000F7E26"/>
    <w:rsid w:val="00104849"/>
    <w:rsid w:val="0010552A"/>
    <w:rsid w:val="00121DFD"/>
    <w:rsid w:val="00125916"/>
    <w:rsid w:val="00127D97"/>
    <w:rsid w:val="00146F83"/>
    <w:rsid w:val="00151E40"/>
    <w:rsid w:val="0017222D"/>
    <w:rsid w:val="00181D66"/>
    <w:rsid w:val="00186649"/>
    <w:rsid w:val="00190D82"/>
    <w:rsid w:val="001A21EC"/>
    <w:rsid w:val="001A3BD7"/>
    <w:rsid w:val="001B7C88"/>
    <w:rsid w:val="001C622F"/>
    <w:rsid w:val="001F1CE3"/>
    <w:rsid w:val="0020317C"/>
    <w:rsid w:val="00211563"/>
    <w:rsid w:val="0021626E"/>
    <w:rsid w:val="002204E3"/>
    <w:rsid w:val="00226C34"/>
    <w:rsid w:val="00234427"/>
    <w:rsid w:val="002408CF"/>
    <w:rsid w:val="00243CB4"/>
    <w:rsid w:val="002523A2"/>
    <w:rsid w:val="00266ECF"/>
    <w:rsid w:val="002A4DBF"/>
    <w:rsid w:val="003071DE"/>
    <w:rsid w:val="003131C4"/>
    <w:rsid w:val="0031528F"/>
    <w:rsid w:val="0034018A"/>
    <w:rsid w:val="00360930"/>
    <w:rsid w:val="003757B6"/>
    <w:rsid w:val="00385E98"/>
    <w:rsid w:val="0039323B"/>
    <w:rsid w:val="003A51CD"/>
    <w:rsid w:val="003E14A4"/>
    <w:rsid w:val="003F5ABD"/>
    <w:rsid w:val="004005A5"/>
    <w:rsid w:val="004032C9"/>
    <w:rsid w:val="00404622"/>
    <w:rsid w:val="004255A0"/>
    <w:rsid w:val="0043201B"/>
    <w:rsid w:val="00464D81"/>
    <w:rsid w:val="00491371"/>
    <w:rsid w:val="004B5C62"/>
    <w:rsid w:val="004C739F"/>
    <w:rsid w:val="004E635F"/>
    <w:rsid w:val="00521018"/>
    <w:rsid w:val="00522476"/>
    <w:rsid w:val="005228AC"/>
    <w:rsid w:val="00527130"/>
    <w:rsid w:val="00556F3D"/>
    <w:rsid w:val="005811A8"/>
    <w:rsid w:val="00582BFF"/>
    <w:rsid w:val="00592A16"/>
    <w:rsid w:val="005962EC"/>
    <w:rsid w:val="005A1ACE"/>
    <w:rsid w:val="005B13FA"/>
    <w:rsid w:val="005B3F6A"/>
    <w:rsid w:val="005C02FA"/>
    <w:rsid w:val="005C1334"/>
    <w:rsid w:val="005C27DE"/>
    <w:rsid w:val="005D3ED4"/>
    <w:rsid w:val="006002B6"/>
    <w:rsid w:val="0061491F"/>
    <w:rsid w:val="00650C02"/>
    <w:rsid w:val="00692316"/>
    <w:rsid w:val="006A291A"/>
    <w:rsid w:val="006A6FD5"/>
    <w:rsid w:val="006D7C19"/>
    <w:rsid w:val="006E53EF"/>
    <w:rsid w:val="00700100"/>
    <w:rsid w:val="00723955"/>
    <w:rsid w:val="00730F86"/>
    <w:rsid w:val="00756FC4"/>
    <w:rsid w:val="007762C4"/>
    <w:rsid w:val="00783D63"/>
    <w:rsid w:val="007C0F3C"/>
    <w:rsid w:val="007C6955"/>
    <w:rsid w:val="007D166B"/>
    <w:rsid w:val="007D5988"/>
    <w:rsid w:val="007F2817"/>
    <w:rsid w:val="008060C8"/>
    <w:rsid w:val="008161D5"/>
    <w:rsid w:val="0083251A"/>
    <w:rsid w:val="00837A56"/>
    <w:rsid w:val="00855133"/>
    <w:rsid w:val="0085615E"/>
    <w:rsid w:val="008A241F"/>
    <w:rsid w:val="008A7039"/>
    <w:rsid w:val="008B5891"/>
    <w:rsid w:val="008D3D94"/>
    <w:rsid w:val="008F7F7D"/>
    <w:rsid w:val="00901701"/>
    <w:rsid w:val="009159F9"/>
    <w:rsid w:val="00921957"/>
    <w:rsid w:val="0093086C"/>
    <w:rsid w:val="00944288"/>
    <w:rsid w:val="0096208E"/>
    <w:rsid w:val="009765F2"/>
    <w:rsid w:val="0099298F"/>
    <w:rsid w:val="00993BB6"/>
    <w:rsid w:val="009A02E2"/>
    <w:rsid w:val="009A059D"/>
    <w:rsid w:val="009A15F7"/>
    <w:rsid w:val="009A2F0F"/>
    <w:rsid w:val="009B7E6E"/>
    <w:rsid w:val="009D4C9B"/>
    <w:rsid w:val="009D5E64"/>
    <w:rsid w:val="009D6ED5"/>
    <w:rsid w:val="009E3B0B"/>
    <w:rsid w:val="00A010FA"/>
    <w:rsid w:val="00A1618E"/>
    <w:rsid w:val="00A25596"/>
    <w:rsid w:val="00A35C18"/>
    <w:rsid w:val="00A40887"/>
    <w:rsid w:val="00A41641"/>
    <w:rsid w:val="00A67021"/>
    <w:rsid w:val="00A674FF"/>
    <w:rsid w:val="00A724C4"/>
    <w:rsid w:val="00A72C94"/>
    <w:rsid w:val="00AD442C"/>
    <w:rsid w:val="00AE7F95"/>
    <w:rsid w:val="00B26934"/>
    <w:rsid w:val="00B31D81"/>
    <w:rsid w:val="00B330EA"/>
    <w:rsid w:val="00B33194"/>
    <w:rsid w:val="00B478E2"/>
    <w:rsid w:val="00B52E0B"/>
    <w:rsid w:val="00BA5A6E"/>
    <w:rsid w:val="00BC67A6"/>
    <w:rsid w:val="00BD1227"/>
    <w:rsid w:val="00BD2A76"/>
    <w:rsid w:val="00BF0383"/>
    <w:rsid w:val="00C13107"/>
    <w:rsid w:val="00C21886"/>
    <w:rsid w:val="00C2785B"/>
    <w:rsid w:val="00C60F44"/>
    <w:rsid w:val="00C632C9"/>
    <w:rsid w:val="00C64EF6"/>
    <w:rsid w:val="00CA438C"/>
    <w:rsid w:val="00CD6DC4"/>
    <w:rsid w:val="00CE7663"/>
    <w:rsid w:val="00D03B71"/>
    <w:rsid w:val="00D3170D"/>
    <w:rsid w:val="00D40E92"/>
    <w:rsid w:val="00D6102A"/>
    <w:rsid w:val="00D61345"/>
    <w:rsid w:val="00D61853"/>
    <w:rsid w:val="00D6673C"/>
    <w:rsid w:val="00D96A0B"/>
    <w:rsid w:val="00D96D46"/>
    <w:rsid w:val="00DA022A"/>
    <w:rsid w:val="00DB49A0"/>
    <w:rsid w:val="00E56025"/>
    <w:rsid w:val="00E56719"/>
    <w:rsid w:val="00E60092"/>
    <w:rsid w:val="00E61C80"/>
    <w:rsid w:val="00E642C9"/>
    <w:rsid w:val="00E73F67"/>
    <w:rsid w:val="00E857BE"/>
    <w:rsid w:val="00E9099E"/>
    <w:rsid w:val="00E9720D"/>
    <w:rsid w:val="00EA7F32"/>
    <w:rsid w:val="00EC1640"/>
    <w:rsid w:val="00ED4493"/>
    <w:rsid w:val="00EE5641"/>
    <w:rsid w:val="00EE6F9C"/>
    <w:rsid w:val="00EF582B"/>
    <w:rsid w:val="00EF771B"/>
    <w:rsid w:val="00F063DC"/>
    <w:rsid w:val="00F1097B"/>
    <w:rsid w:val="00F11CE0"/>
    <w:rsid w:val="00F24196"/>
    <w:rsid w:val="00F32F74"/>
    <w:rsid w:val="00F647D6"/>
    <w:rsid w:val="00F67EA1"/>
    <w:rsid w:val="00F74742"/>
    <w:rsid w:val="00F74B7A"/>
    <w:rsid w:val="00FA6FED"/>
    <w:rsid w:val="00FB2502"/>
    <w:rsid w:val="00FD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5105A"/>
  <w15:chartTrackingRefBased/>
  <w15:docId w15:val="{E017434A-776C-4966-8C8B-80574F0A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C16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C16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C16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C16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C16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C16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C16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C16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C16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C16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C16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C16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C164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C164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C164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C164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C164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C164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C16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C16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C16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C16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C16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C164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C164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C164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C16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C164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C1640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4B5C62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B5C62"/>
    <w:rPr>
      <w:color w:val="605E5C"/>
      <w:shd w:val="clear" w:color="auto" w:fill="E1DFDD"/>
    </w:rPr>
  </w:style>
  <w:style w:type="paragraph" w:customStyle="1" w:styleId="centrado">
    <w:name w:val="centrado"/>
    <w:basedOn w:val="Normal"/>
    <w:rsid w:val="00E64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CO"/>
      <w14:ligatures w14:val="none"/>
    </w:rPr>
  </w:style>
  <w:style w:type="character" w:customStyle="1" w:styleId="baj">
    <w:name w:val="b_aj"/>
    <w:basedOn w:val="Fuentedeprrafopredeter"/>
    <w:rsid w:val="00E642C9"/>
  </w:style>
  <w:style w:type="paragraph" w:styleId="NormalWeb">
    <w:name w:val="Normal (Web)"/>
    <w:basedOn w:val="Normal"/>
    <w:uiPriority w:val="99"/>
    <w:semiHidden/>
    <w:unhideWhenUsed/>
    <w:rsid w:val="00E64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CO"/>
      <w14:ligatures w14:val="none"/>
    </w:rPr>
  </w:style>
  <w:style w:type="character" w:customStyle="1" w:styleId="iaj">
    <w:name w:val="i_aj"/>
    <w:basedOn w:val="Fuentedeprrafopredeter"/>
    <w:rsid w:val="00E64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d92a5f3-bc7a-4a79-8c5e-5e483f7789bf}" enabled="0" method="" siteId="{3d92a5f3-bc7a-4a79-8c5e-5e483f7789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1143</Words>
  <Characters>6290</Characters>
  <Application>Microsoft Office Word</Application>
  <DocSecurity>0</DocSecurity>
  <Lines>52</Lines>
  <Paragraphs>14</Paragraphs>
  <ScaleCrop>false</ScaleCrop>
  <Company/>
  <LinksUpToDate>false</LinksUpToDate>
  <CharactersWithSpaces>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Alejandra Caicedo Guerrero</dc:creator>
  <cp:keywords/>
  <dc:description/>
  <cp:lastModifiedBy>Monica Alejandra Caicedo Guerrero</cp:lastModifiedBy>
  <cp:revision>131</cp:revision>
  <dcterms:created xsi:type="dcterms:W3CDTF">2026-05-08T19:08:00Z</dcterms:created>
  <dcterms:modified xsi:type="dcterms:W3CDTF">2026-07-21T00:32:00Z</dcterms:modified>
</cp:coreProperties>
</file>