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03450" w14:textId="77777777" w:rsidR="00825546" w:rsidRPr="00825546" w:rsidRDefault="00825546" w:rsidP="00825546">
      <w:pPr>
        <w:jc w:val="center"/>
        <w:rPr>
          <w:rFonts w:ascii="Verdana" w:hAnsi="Verdana"/>
          <w:sz w:val="22"/>
          <w:szCs w:val="22"/>
        </w:rPr>
      </w:pPr>
      <w:r w:rsidRPr="00825546">
        <w:rPr>
          <w:rFonts w:ascii="Verdana" w:hAnsi="Verdana"/>
          <w:b/>
          <w:bCs/>
          <w:sz w:val="22"/>
          <w:szCs w:val="22"/>
        </w:rPr>
        <w:t>CONCEPTO 52 DE 2017</w:t>
      </w:r>
    </w:p>
    <w:p w14:paraId="64C3DF77" w14:textId="77777777" w:rsidR="00825546" w:rsidRPr="00825546" w:rsidRDefault="00825546" w:rsidP="00825546">
      <w:pPr>
        <w:jc w:val="center"/>
        <w:rPr>
          <w:rFonts w:ascii="Verdana" w:hAnsi="Verdana"/>
          <w:sz w:val="22"/>
          <w:szCs w:val="22"/>
        </w:rPr>
      </w:pPr>
      <w:r w:rsidRPr="00825546">
        <w:rPr>
          <w:rFonts w:ascii="Verdana" w:hAnsi="Verdana"/>
          <w:sz w:val="22"/>
          <w:szCs w:val="22"/>
        </w:rPr>
        <w:t>(mayo 15)</w:t>
      </w:r>
    </w:p>
    <w:p w14:paraId="201491C3" w14:textId="77777777" w:rsidR="00825546" w:rsidRPr="00825546" w:rsidRDefault="00825546" w:rsidP="00825546">
      <w:pPr>
        <w:jc w:val="center"/>
        <w:rPr>
          <w:rFonts w:ascii="Verdana" w:hAnsi="Verdana"/>
          <w:sz w:val="22"/>
          <w:szCs w:val="22"/>
        </w:rPr>
      </w:pPr>
      <w:r w:rsidRPr="00825546">
        <w:rPr>
          <w:rFonts w:ascii="Verdana" w:hAnsi="Verdana"/>
          <w:b/>
          <w:bCs/>
          <w:sz w:val="22"/>
          <w:szCs w:val="22"/>
        </w:rPr>
        <w:t>INSTITUTO COLOMBIANO DE BIENESTAR FAMILIAR</w:t>
      </w:r>
    </w:p>
    <w:p w14:paraId="08222DFD" w14:textId="77777777" w:rsidR="00825546" w:rsidRPr="00825546" w:rsidRDefault="00825546" w:rsidP="00825546">
      <w:pPr>
        <w:jc w:val="both"/>
        <w:rPr>
          <w:rFonts w:ascii="Verdana" w:hAnsi="Verdana"/>
          <w:sz w:val="22"/>
          <w:szCs w:val="22"/>
        </w:rPr>
      </w:pPr>
      <w:r w:rsidRPr="00825546">
        <w:rPr>
          <w:rFonts w:ascii="Verdana" w:hAnsi="Verdana"/>
          <w:b/>
          <w:bCs/>
          <w:sz w:val="22"/>
          <w:szCs w:val="22"/>
        </w:rPr>
        <w:t>ASUNTO</w:t>
      </w:r>
      <w:r w:rsidRPr="00825546">
        <w:rPr>
          <w:rFonts w:ascii="Verdana" w:hAnsi="Verdana"/>
          <w:sz w:val="22"/>
          <w:szCs w:val="22"/>
        </w:rPr>
        <w:t xml:space="preserve">: Solicitud de concepto radicado No. 1760888186 del 04 de </w:t>
      </w:r>
      <w:proofErr w:type="gramStart"/>
      <w:r w:rsidRPr="00825546">
        <w:rPr>
          <w:rFonts w:ascii="Verdana" w:hAnsi="Verdana"/>
          <w:sz w:val="22"/>
          <w:szCs w:val="22"/>
        </w:rPr>
        <w:t>Mayo</w:t>
      </w:r>
      <w:proofErr w:type="gramEnd"/>
      <w:r w:rsidRPr="00825546">
        <w:rPr>
          <w:rFonts w:ascii="Verdana" w:hAnsi="Verdana"/>
          <w:sz w:val="22"/>
          <w:szCs w:val="22"/>
        </w:rPr>
        <w:t xml:space="preserve"> de 2017.</w:t>
      </w:r>
    </w:p>
    <w:p w14:paraId="224AF1F8" w14:textId="3F5329F3" w:rsidR="00825546" w:rsidRPr="00825546" w:rsidRDefault="00825546" w:rsidP="00825546">
      <w:pPr>
        <w:jc w:val="both"/>
        <w:rPr>
          <w:rFonts w:ascii="Verdana" w:hAnsi="Verdana"/>
          <w:sz w:val="22"/>
          <w:szCs w:val="22"/>
        </w:rPr>
      </w:pPr>
      <w:r w:rsidRPr="00825546">
        <w:rPr>
          <w:rFonts w:ascii="Verdana" w:hAnsi="Verdana"/>
          <w:sz w:val="22"/>
          <w:szCs w:val="22"/>
        </w:rPr>
        <w:t>De manera atenta, en relación con el asunto de la referencia, en los términos previstos en los artículos 26 del Código Civil, Ley 1755 de 2015, y el artículo 6</w:t>
      </w:r>
      <w:r w:rsidRPr="00825546">
        <w:rPr>
          <w:rFonts w:ascii="Verdana" w:hAnsi="Verdana"/>
          <w:sz w:val="22"/>
          <w:szCs w:val="22"/>
          <w:vertAlign w:val="superscript"/>
        </w:rPr>
        <w:t>o</w:t>
      </w:r>
      <w:r w:rsidRPr="00825546">
        <w:rPr>
          <w:rFonts w:ascii="Verdana" w:hAnsi="Verdana"/>
          <w:sz w:val="22"/>
          <w:szCs w:val="22"/>
        </w:rPr>
        <w:t>, numeral 4, del Decreto 987 de 2012, se responde la consulta, sobre el caso en cuestión, en los términos que siguen:</w:t>
      </w:r>
    </w:p>
    <w:p w14:paraId="30316D45" w14:textId="77777777" w:rsidR="00825546" w:rsidRPr="00825546" w:rsidRDefault="00825546" w:rsidP="00825546">
      <w:pPr>
        <w:jc w:val="both"/>
        <w:rPr>
          <w:rFonts w:ascii="Verdana" w:hAnsi="Verdana"/>
          <w:sz w:val="22"/>
          <w:szCs w:val="22"/>
        </w:rPr>
      </w:pPr>
      <w:r w:rsidRPr="00825546">
        <w:rPr>
          <w:rFonts w:ascii="Verdana" w:hAnsi="Verdana"/>
          <w:b/>
          <w:bCs/>
          <w:sz w:val="22"/>
          <w:szCs w:val="22"/>
        </w:rPr>
        <w:t>1. PROBLEMA JURÍDICO</w:t>
      </w:r>
    </w:p>
    <w:p w14:paraId="7339B00D" w14:textId="77777777" w:rsidR="00825546" w:rsidRPr="00825546" w:rsidRDefault="00825546" w:rsidP="00825546">
      <w:pPr>
        <w:jc w:val="both"/>
        <w:rPr>
          <w:rFonts w:ascii="Verdana" w:hAnsi="Verdana"/>
          <w:sz w:val="22"/>
          <w:szCs w:val="22"/>
        </w:rPr>
      </w:pPr>
      <w:r w:rsidRPr="00825546">
        <w:rPr>
          <w:rFonts w:ascii="Verdana" w:hAnsi="Verdana"/>
          <w:sz w:val="22"/>
          <w:szCs w:val="22"/>
        </w:rPr>
        <w:t>¿Puede el alcalde o el secretario de gobierno autorizar fiestas en donde participen niños, niñas y adolescentes?</w:t>
      </w:r>
    </w:p>
    <w:p w14:paraId="0723E793" w14:textId="77777777" w:rsidR="00825546" w:rsidRPr="00825546" w:rsidRDefault="00825546" w:rsidP="00825546">
      <w:pPr>
        <w:jc w:val="both"/>
        <w:rPr>
          <w:rFonts w:ascii="Verdana" w:hAnsi="Verdana"/>
          <w:sz w:val="22"/>
          <w:szCs w:val="22"/>
        </w:rPr>
      </w:pPr>
      <w:r w:rsidRPr="00825546">
        <w:rPr>
          <w:rFonts w:ascii="Verdana" w:hAnsi="Verdana"/>
          <w:b/>
          <w:bCs/>
          <w:sz w:val="22"/>
          <w:szCs w:val="22"/>
        </w:rPr>
        <w:t>2. ANÁLISIS DEL PROBLEMA JURÍDICO</w:t>
      </w:r>
    </w:p>
    <w:p w14:paraId="0777A7D4" w14:textId="77777777" w:rsidR="00825546" w:rsidRPr="00825546" w:rsidRDefault="00825546" w:rsidP="00825546">
      <w:pPr>
        <w:jc w:val="both"/>
        <w:rPr>
          <w:rFonts w:ascii="Verdana" w:hAnsi="Verdana"/>
          <w:sz w:val="22"/>
          <w:szCs w:val="22"/>
        </w:rPr>
      </w:pPr>
      <w:r w:rsidRPr="00825546">
        <w:rPr>
          <w:rFonts w:ascii="Verdana" w:hAnsi="Verdana"/>
          <w:sz w:val="22"/>
          <w:szCs w:val="22"/>
        </w:rPr>
        <w:t xml:space="preserve">Se </w:t>
      </w:r>
      <w:proofErr w:type="gramStart"/>
      <w:r w:rsidRPr="00825546">
        <w:rPr>
          <w:rFonts w:ascii="Verdana" w:hAnsi="Verdana"/>
          <w:sz w:val="22"/>
          <w:szCs w:val="22"/>
        </w:rPr>
        <w:t>abordara</w:t>
      </w:r>
      <w:proofErr w:type="gramEnd"/>
      <w:r w:rsidRPr="00825546">
        <w:rPr>
          <w:rFonts w:ascii="Verdana" w:hAnsi="Verdana"/>
          <w:sz w:val="22"/>
          <w:szCs w:val="22"/>
        </w:rPr>
        <w:t xml:space="preserve"> el tema analizando: 2.1. El Interés Superior de los niños, niñas y los adolescentes; 2,2. El caso concreto.</w:t>
      </w:r>
    </w:p>
    <w:p w14:paraId="146E370D" w14:textId="77777777" w:rsidR="00825546" w:rsidRPr="00825546" w:rsidRDefault="00825546" w:rsidP="00825546">
      <w:pPr>
        <w:jc w:val="both"/>
        <w:rPr>
          <w:rFonts w:ascii="Verdana" w:hAnsi="Verdana"/>
          <w:sz w:val="22"/>
          <w:szCs w:val="22"/>
        </w:rPr>
      </w:pPr>
      <w:r w:rsidRPr="00825546">
        <w:rPr>
          <w:rFonts w:ascii="Verdana" w:hAnsi="Verdana"/>
          <w:b/>
          <w:bCs/>
          <w:sz w:val="22"/>
          <w:szCs w:val="22"/>
        </w:rPr>
        <w:t>2.1. El Interés Superior de los niños, niñas y adolescentes</w:t>
      </w:r>
    </w:p>
    <w:p w14:paraId="6342A8B0" w14:textId="77777777" w:rsidR="00825546" w:rsidRPr="00825546" w:rsidRDefault="00825546" w:rsidP="00825546">
      <w:pPr>
        <w:jc w:val="both"/>
        <w:rPr>
          <w:rFonts w:ascii="Verdana" w:hAnsi="Verdana"/>
          <w:sz w:val="22"/>
          <w:szCs w:val="22"/>
        </w:rPr>
      </w:pPr>
      <w:r w:rsidRPr="00825546">
        <w:rPr>
          <w:rFonts w:ascii="Verdana" w:hAnsi="Verdana"/>
          <w:sz w:val="22"/>
          <w:szCs w:val="22"/>
        </w:rPr>
        <w:t>La Convención sobre los Derechos del Niño en el numeral primero del artículo tercero establece que </w:t>
      </w:r>
      <w:r w:rsidRPr="00825546">
        <w:rPr>
          <w:rFonts w:ascii="Verdana" w:hAnsi="Verdana"/>
          <w:i/>
          <w:iCs/>
          <w:sz w:val="22"/>
          <w:szCs w:val="22"/>
        </w:rPr>
        <w:t>"(...) todas las medidas concernientes a los niños que tomen las instituciones públicas o privadas de bienestar social, los tribunales, las autoridades administrativas o los órganos legislativos, una consideración primordial a que se atenderá será el interés superior del niño"</w:t>
      </w:r>
      <w:r w:rsidRPr="00825546">
        <w:rPr>
          <w:rFonts w:ascii="Verdana" w:hAnsi="Verdana"/>
          <w:sz w:val="22"/>
          <w:szCs w:val="22"/>
        </w:rPr>
        <w:t> (subrayado fuera de texto).</w:t>
      </w:r>
    </w:p>
    <w:p w14:paraId="0F4E6645" w14:textId="73FB5949" w:rsidR="00825546" w:rsidRPr="00825546" w:rsidRDefault="00825546" w:rsidP="00825546">
      <w:pPr>
        <w:jc w:val="both"/>
        <w:rPr>
          <w:rFonts w:ascii="Verdana" w:hAnsi="Verdana"/>
          <w:sz w:val="22"/>
          <w:szCs w:val="22"/>
        </w:rPr>
      </w:pPr>
      <w:r w:rsidRPr="00825546">
        <w:rPr>
          <w:rFonts w:ascii="Verdana" w:hAnsi="Verdana"/>
          <w:sz w:val="22"/>
          <w:szCs w:val="22"/>
        </w:rPr>
        <w:t>La Constitución Política en el artículo 44 enuncia cuáles son los derechos fundamentales de los niños y estipula que la familia, la sociedad y el Estado tienen la obligación de asistirlos y protegerlos, para garantizarles su desarrollo armónico e integral y el ejercicio pleno de sus derechos. Así mismo contempla que los derechos de los niños prevalecen sobre los derechos de los demás.</w:t>
      </w:r>
    </w:p>
    <w:p w14:paraId="4DB621FC" w14:textId="07624445" w:rsidR="00825546" w:rsidRPr="00825546" w:rsidRDefault="00825546" w:rsidP="00825546">
      <w:pPr>
        <w:jc w:val="both"/>
        <w:rPr>
          <w:rFonts w:ascii="Verdana" w:hAnsi="Verdana"/>
          <w:sz w:val="22"/>
          <w:szCs w:val="22"/>
        </w:rPr>
      </w:pPr>
      <w:r w:rsidRPr="00825546">
        <w:rPr>
          <w:rFonts w:ascii="Verdana" w:hAnsi="Verdana"/>
          <w:sz w:val="22"/>
          <w:szCs w:val="22"/>
        </w:rPr>
        <w:t>Por su parte, en el artículo 8 del Código de la Infancia y la Adolescencia se define el interés superior de los niños, las niñas y los adolescentes </w:t>
      </w:r>
      <w:r w:rsidRPr="00825546">
        <w:rPr>
          <w:rFonts w:ascii="Verdana" w:hAnsi="Verdana"/>
          <w:i/>
          <w:iCs/>
          <w:sz w:val="22"/>
          <w:szCs w:val="22"/>
        </w:rPr>
        <w:t>"(...) como el imperativo que obliga a todas las personas a garantizar la satisfacción integral y simultánea de todos sus derechos humanos, que son universales, prevalentes e Interdependientes”.</w:t>
      </w:r>
    </w:p>
    <w:p w14:paraId="5F428DDF" w14:textId="77777777" w:rsidR="00825546" w:rsidRPr="00825546" w:rsidRDefault="00825546" w:rsidP="00825546">
      <w:pPr>
        <w:jc w:val="both"/>
        <w:rPr>
          <w:rFonts w:ascii="Verdana" w:hAnsi="Verdana"/>
          <w:sz w:val="22"/>
          <w:szCs w:val="22"/>
        </w:rPr>
      </w:pPr>
      <w:r w:rsidRPr="00825546">
        <w:rPr>
          <w:rFonts w:ascii="Verdana" w:hAnsi="Verdana"/>
          <w:sz w:val="22"/>
          <w:szCs w:val="22"/>
        </w:rPr>
        <w:t xml:space="preserve">En ese sentido, la Corte Constitucional ha precisado que todas las actuaciones que realicen las </w:t>
      </w:r>
      <w:proofErr w:type="gramStart"/>
      <w:r w:rsidRPr="00825546">
        <w:rPr>
          <w:rFonts w:ascii="Verdana" w:hAnsi="Verdana"/>
          <w:sz w:val="22"/>
          <w:szCs w:val="22"/>
        </w:rPr>
        <w:t>autoridades públicas</w:t>
      </w:r>
      <w:proofErr w:type="gramEnd"/>
      <w:r w:rsidRPr="00825546">
        <w:rPr>
          <w:rFonts w:ascii="Verdana" w:hAnsi="Verdana"/>
          <w:sz w:val="22"/>
          <w:szCs w:val="22"/>
        </w:rPr>
        <w:t xml:space="preserve"> en las que se encuentren involucrados </w:t>
      </w:r>
      <w:r w:rsidRPr="00825546">
        <w:rPr>
          <w:rFonts w:ascii="Verdana" w:hAnsi="Verdana"/>
          <w:sz w:val="22"/>
          <w:szCs w:val="22"/>
        </w:rPr>
        <w:lastRenderedPageBreak/>
        <w:t>niños, niñas o adolescentes deben estar orientadas por el principio del interés superior.</w:t>
      </w:r>
    </w:p>
    <w:p w14:paraId="17498F3D" w14:textId="77777777" w:rsidR="00825546" w:rsidRPr="00825546" w:rsidRDefault="00825546" w:rsidP="00825546">
      <w:pPr>
        <w:jc w:val="both"/>
        <w:rPr>
          <w:rFonts w:ascii="Verdana" w:hAnsi="Verdana"/>
          <w:sz w:val="22"/>
          <w:szCs w:val="22"/>
        </w:rPr>
      </w:pPr>
      <w:r w:rsidRPr="00825546">
        <w:rPr>
          <w:rFonts w:ascii="Verdana" w:hAnsi="Verdana"/>
          <w:sz w:val="22"/>
          <w:szCs w:val="22"/>
        </w:rPr>
        <w:t>En efecto, la Corte ha afirmado que </w:t>
      </w:r>
      <w:r w:rsidRPr="00825546">
        <w:rPr>
          <w:rFonts w:ascii="Verdana" w:hAnsi="Verdana"/>
          <w:i/>
          <w:iCs/>
          <w:sz w:val="22"/>
          <w:szCs w:val="22"/>
        </w:rPr>
        <w:t xml:space="preserve">“el interés superior del menor no constituye un ente abstracto, desprovisto de vínculos con la realidad concreta, sobre el cual se puedan formular reglas generales de aplicación mecánica. Al contrario: el contenido de dicho interés, que es de naturaleza real y relacional, sólo se puede establecer prestando la debida consideración a las circunstancias individuales, únicas e irrepetibles de cada menor de edad, </w:t>
      </w:r>
      <w:proofErr w:type="gramStart"/>
      <w:r w:rsidRPr="00825546">
        <w:rPr>
          <w:rFonts w:ascii="Verdana" w:hAnsi="Verdana"/>
          <w:i/>
          <w:iCs/>
          <w:sz w:val="22"/>
          <w:szCs w:val="22"/>
        </w:rPr>
        <w:t>que</w:t>
      </w:r>
      <w:proofErr w:type="gramEnd"/>
      <w:r w:rsidRPr="00825546">
        <w:rPr>
          <w:rFonts w:ascii="Verdana" w:hAnsi="Verdana"/>
          <w:i/>
          <w:iCs/>
          <w:sz w:val="22"/>
          <w:szCs w:val="22"/>
        </w:rPr>
        <w:t xml:space="preserve"> en tanto sujeto digno, debe ser atendido por la familia, la sociedad y el Estado con todo el cuidado que requiere su situación personal".</w:t>
      </w:r>
    </w:p>
    <w:p w14:paraId="7C08C7DC" w14:textId="77777777" w:rsidR="00825546" w:rsidRPr="00825546" w:rsidRDefault="00825546" w:rsidP="00825546">
      <w:pPr>
        <w:jc w:val="both"/>
        <w:rPr>
          <w:rFonts w:ascii="Verdana" w:hAnsi="Verdana"/>
          <w:sz w:val="22"/>
          <w:szCs w:val="22"/>
        </w:rPr>
      </w:pPr>
      <w:r w:rsidRPr="00825546">
        <w:rPr>
          <w:rFonts w:ascii="Verdana" w:hAnsi="Verdana"/>
          <w:sz w:val="22"/>
          <w:szCs w:val="22"/>
        </w:rPr>
        <w:t>Así mismo, sostuvo que </w:t>
      </w:r>
      <w:r w:rsidRPr="00825546">
        <w:rPr>
          <w:rFonts w:ascii="Verdana" w:hAnsi="Verdana"/>
          <w:i/>
          <w:iCs/>
          <w:sz w:val="22"/>
          <w:szCs w:val="22"/>
        </w:rPr>
        <w:t>"El interés superior del menor no constituye una cláusula vacía susceptible de amparar cualquier decisión; Por el contrario, para que una determinada decisión pueda justificarse en nombre del mencionado principio, es necesario que se reúnan, al menos, cuatro condiciones básicas: 1) en primer lugar, el interés del menor en cuya defensa se actúa debe ser real, es decir, debe hacer relación a sus particulares necesidades y a sus especiales aptitudes físicas y sicológicas; 2) en segundo término debe ser independiente del criterio arbitrario de los demás y, por tanto, su existencia y protección no dependen de la voluntad o capricho de los padres o de los funcionarios públicos, encargados de protegerlo; 3) en tercer lugar; se trata de un concepto relacional, pues la garantía de su protección se predica frente a la existencia de interés en conflicto cuyo ejercicio de ponderación debe ser guiado por la protección de este principio; 4) por último debe demostrarse que dicho interés tiende a lograr un beneficio jurídico supremo consistente en el pleno y armónico desarrollo de la personalidad del menor."</w:t>
      </w:r>
    </w:p>
    <w:p w14:paraId="77E845AB" w14:textId="77777777" w:rsidR="00825546" w:rsidRPr="00825546" w:rsidRDefault="00825546" w:rsidP="00825546">
      <w:pPr>
        <w:jc w:val="both"/>
        <w:rPr>
          <w:rFonts w:ascii="Verdana" w:hAnsi="Verdana"/>
          <w:sz w:val="22"/>
          <w:szCs w:val="22"/>
        </w:rPr>
      </w:pPr>
      <w:r w:rsidRPr="00825546">
        <w:rPr>
          <w:rFonts w:ascii="Verdana" w:hAnsi="Verdana"/>
          <w:b/>
          <w:bCs/>
          <w:sz w:val="22"/>
          <w:szCs w:val="22"/>
        </w:rPr>
        <w:t>2.2. El caso concreto.</w:t>
      </w:r>
    </w:p>
    <w:p w14:paraId="24C5AFFA" w14:textId="77777777" w:rsidR="00825546" w:rsidRPr="00825546" w:rsidRDefault="00825546" w:rsidP="00825546">
      <w:pPr>
        <w:jc w:val="both"/>
        <w:rPr>
          <w:rFonts w:ascii="Verdana" w:hAnsi="Verdana"/>
          <w:sz w:val="22"/>
          <w:szCs w:val="22"/>
        </w:rPr>
      </w:pPr>
      <w:r w:rsidRPr="00825546">
        <w:rPr>
          <w:rFonts w:ascii="Verdana" w:hAnsi="Verdana"/>
          <w:b/>
          <w:bCs/>
          <w:sz w:val="22"/>
          <w:szCs w:val="22"/>
        </w:rPr>
        <w:t xml:space="preserve">¿Puede un alcalde o un secretario de gobierno autorizar fiestas, </w:t>
      </w:r>
      <w:proofErr w:type="spellStart"/>
      <w:r w:rsidRPr="00825546">
        <w:rPr>
          <w:rFonts w:ascii="Verdana" w:hAnsi="Verdana"/>
          <w:b/>
          <w:bCs/>
          <w:sz w:val="22"/>
          <w:szCs w:val="22"/>
        </w:rPr>
        <w:t>chiquitecas</w:t>
      </w:r>
      <w:proofErr w:type="spellEnd"/>
      <w:r w:rsidRPr="00825546">
        <w:rPr>
          <w:rFonts w:ascii="Verdana" w:hAnsi="Verdana"/>
          <w:b/>
          <w:bCs/>
          <w:sz w:val="22"/>
          <w:szCs w:val="22"/>
        </w:rPr>
        <w:t xml:space="preserve"> a menores de edad o adolescentes?</w:t>
      </w:r>
    </w:p>
    <w:p w14:paraId="4EFCD13A" w14:textId="1A41324A" w:rsidR="00825546" w:rsidRPr="00825546" w:rsidRDefault="00825546" w:rsidP="00825546">
      <w:pPr>
        <w:jc w:val="both"/>
        <w:rPr>
          <w:rFonts w:ascii="Verdana" w:hAnsi="Verdana"/>
          <w:sz w:val="22"/>
          <w:szCs w:val="22"/>
        </w:rPr>
      </w:pPr>
      <w:r w:rsidRPr="00825546">
        <w:rPr>
          <w:rFonts w:ascii="Verdana" w:hAnsi="Verdana"/>
          <w:sz w:val="22"/>
          <w:szCs w:val="22"/>
        </w:rPr>
        <w:t xml:space="preserve">De conformidad con los artículos 314 y 315 de la Constitución Política, el </w:t>
      </w:r>
      <w:proofErr w:type="gramStart"/>
      <w:r w:rsidRPr="00825546">
        <w:rPr>
          <w:rFonts w:ascii="Verdana" w:hAnsi="Verdana"/>
          <w:sz w:val="22"/>
          <w:szCs w:val="22"/>
        </w:rPr>
        <w:t>Alcalde</w:t>
      </w:r>
      <w:proofErr w:type="gramEnd"/>
      <w:r w:rsidRPr="00825546">
        <w:rPr>
          <w:rFonts w:ascii="Verdana" w:hAnsi="Verdana"/>
          <w:sz w:val="22"/>
          <w:szCs w:val="22"/>
        </w:rPr>
        <w:t xml:space="preserve"> es el jefe de la administración municipal y representante legal del municipio, y tiene entre otras funciones las de cumplir y hacer cumplir la Constitución, la ley, los decretos del gobierno, las ordenanzas, y los acuerdos del Concejo; conservar el orden público en el municipio y dirigir la acción administrativa en el mismo.</w:t>
      </w:r>
    </w:p>
    <w:p w14:paraId="53F37BE1" w14:textId="6781E8BD" w:rsidR="00825546" w:rsidRPr="00825546" w:rsidRDefault="00825546" w:rsidP="00825546">
      <w:pPr>
        <w:jc w:val="both"/>
        <w:rPr>
          <w:rFonts w:ascii="Verdana" w:hAnsi="Verdana"/>
          <w:sz w:val="22"/>
          <w:szCs w:val="22"/>
        </w:rPr>
      </w:pPr>
      <w:r w:rsidRPr="00825546">
        <w:rPr>
          <w:rFonts w:ascii="Verdana" w:hAnsi="Verdana"/>
          <w:sz w:val="22"/>
          <w:szCs w:val="22"/>
        </w:rPr>
        <w:t xml:space="preserve">En este mismo sentido, la Ley 136 de 1994, reglamentada parcialmente por el Decreto 863 de 2009 le asigna al </w:t>
      </w:r>
      <w:proofErr w:type="gramStart"/>
      <w:r w:rsidRPr="00825546">
        <w:rPr>
          <w:rFonts w:ascii="Verdana" w:hAnsi="Verdana"/>
          <w:sz w:val="22"/>
          <w:szCs w:val="22"/>
        </w:rPr>
        <w:t>Alcalde</w:t>
      </w:r>
      <w:proofErr w:type="gramEnd"/>
      <w:r w:rsidRPr="00825546">
        <w:rPr>
          <w:rFonts w:ascii="Verdana" w:hAnsi="Verdana"/>
          <w:sz w:val="22"/>
          <w:szCs w:val="22"/>
        </w:rPr>
        <w:t xml:space="preserve"> la categoría de empleado público, lo faculta para dictar Decretos, Resoluciones y Órdenes en su municipio, y le impone como función preservar el orden público en su jurisdicción.</w:t>
      </w:r>
    </w:p>
    <w:p w14:paraId="3EE45076" w14:textId="5010486E" w:rsidR="00825546" w:rsidRPr="00825546" w:rsidRDefault="00825546" w:rsidP="00825546">
      <w:pPr>
        <w:jc w:val="both"/>
        <w:rPr>
          <w:rFonts w:ascii="Verdana" w:hAnsi="Verdana"/>
          <w:sz w:val="22"/>
          <w:szCs w:val="22"/>
        </w:rPr>
      </w:pPr>
      <w:r w:rsidRPr="00825546">
        <w:rPr>
          <w:rFonts w:ascii="Verdana" w:hAnsi="Verdana"/>
          <w:sz w:val="22"/>
          <w:szCs w:val="22"/>
        </w:rPr>
        <w:lastRenderedPageBreak/>
        <w:t>El artículo 37 de la Ley 1801 de 2016 </w:t>
      </w:r>
      <w:r w:rsidRPr="00825546">
        <w:rPr>
          <w:rFonts w:ascii="Verdana" w:hAnsi="Verdana"/>
          <w:i/>
          <w:iCs/>
          <w:sz w:val="22"/>
          <w:szCs w:val="22"/>
        </w:rPr>
        <w:t>“Por la cual se expide el Código Nacional de Policía y Convivencia”,</w:t>
      </w:r>
      <w:r w:rsidRPr="00825546">
        <w:rPr>
          <w:rFonts w:ascii="Verdana" w:hAnsi="Verdana"/>
          <w:sz w:val="22"/>
          <w:szCs w:val="22"/>
        </w:rPr>
        <w:t> establece:</w:t>
      </w:r>
    </w:p>
    <w:p w14:paraId="57EFA405" w14:textId="77777777" w:rsidR="00825546" w:rsidRPr="00825546" w:rsidRDefault="00825546" w:rsidP="00825546">
      <w:pPr>
        <w:jc w:val="both"/>
        <w:rPr>
          <w:rFonts w:ascii="Verdana" w:hAnsi="Verdana"/>
          <w:sz w:val="22"/>
          <w:szCs w:val="22"/>
        </w:rPr>
      </w:pPr>
      <w:r w:rsidRPr="00825546">
        <w:rPr>
          <w:rFonts w:ascii="Verdana" w:hAnsi="Verdana"/>
          <w:b/>
          <w:bCs/>
          <w:i/>
          <w:iCs/>
          <w:sz w:val="22"/>
          <w:szCs w:val="22"/>
        </w:rPr>
        <w:t>Artículo 37. Reglamentación para la protección de niños, niñas y adolescentes.</w:t>
      </w:r>
      <w:r w:rsidRPr="00825546">
        <w:rPr>
          <w:rFonts w:ascii="Verdana" w:hAnsi="Verdana"/>
          <w:i/>
          <w:iCs/>
          <w:sz w:val="22"/>
          <w:szCs w:val="22"/>
        </w:rPr>
        <w:t> El alcalde distrital o municipal determinará mediante acto motivado las actividades peligrosas, las fiestas o eventos similares, a los que se prohíbe el acceso o participación a los niños, niñas y adolescentes.</w:t>
      </w:r>
    </w:p>
    <w:p w14:paraId="1F7435E6" w14:textId="7DB9FBA3" w:rsidR="00825546" w:rsidRPr="00825546" w:rsidRDefault="00825546" w:rsidP="00825546">
      <w:pPr>
        <w:jc w:val="both"/>
        <w:rPr>
          <w:rFonts w:ascii="Verdana" w:hAnsi="Verdana"/>
          <w:sz w:val="22"/>
          <w:szCs w:val="22"/>
        </w:rPr>
      </w:pPr>
      <w:r w:rsidRPr="00825546">
        <w:rPr>
          <w:rFonts w:ascii="Verdana" w:hAnsi="Verdana"/>
          <w:i/>
          <w:iCs/>
          <w:sz w:val="22"/>
          <w:szCs w:val="22"/>
        </w:rPr>
        <w:t>Así mismo, los niños, niñas y adolescentes deberán cumplir lo establecido en la Ley 1554 de 2012 con respecto a la edad permitida para participar o ingresar a establecimientos que prestan el servicio de videojuegos.</w:t>
      </w:r>
    </w:p>
    <w:p w14:paraId="4844897A" w14:textId="4FE7674D" w:rsidR="00825546" w:rsidRPr="00825546" w:rsidRDefault="00825546" w:rsidP="00825546">
      <w:pPr>
        <w:jc w:val="both"/>
        <w:rPr>
          <w:rFonts w:ascii="Verdana" w:hAnsi="Verdana"/>
          <w:sz w:val="22"/>
          <w:szCs w:val="22"/>
        </w:rPr>
      </w:pPr>
      <w:r w:rsidRPr="00825546">
        <w:rPr>
          <w:rFonts w:ascii="Verdana" w:hAnsi="Verdana"/>
          <w:sz w:val="22"/>
          <w:szCs w:val="22"/>
        </w:rPr>
        <w:t>En virtud de lo anterior, el alcalde podría autorizar la realización de fiestas, en las que participen menores de edad, siempre y cuando en éstas no se atenten contra los derechos de los niños, niñas o adolescentes y no se realicen comportamientos que afecten la integridad de niños, niñas y adolescentes, los cuales se encuentran establecidos en el artículo 38 de la Ley 1801 de 2016 así:</w:t>
      </w:r>
    </w:p>
    <w:p w14:paraId="085AEDC2" w14:textId="77777777" w:rsidR="00825546" w:rsidRPr="00825546" w:rsidRDefault="00825546" w:rsidP="00825546">
      <w:pPr>
        <w:jc w:val="both"/>
        <w:rPr>
          <w:rFonts w:ascii="Verdana" w:hAnsi="Verdana"/>
          <w:sz w:val="22"/>
          <w:szCs w:val="22"/>
        </w:rPr>
      </w:pPr>
      <w:r w:rsidRPr="00825546">
        <w:rPr>
          <w:rFonts w:ascii="Verdana" w:hAnsi="Verdana"/>
          <w:b/>
          <w:bCs/>
          <w:i/>
          <w:iCs/>
          <w:sz w:val="22"/>
          <w:szCs w:val="22"/>
        </w:rPr>
        <w:t>“Artículo 38. Comportamientos que afectan la integridad de niños, niñas y adolescentes</w:t>
      </w:r>
      <w:r w:rsidRPr="00825546">
        <w:rPr>
          <w:rFonts w:ascii="Verdana" w:hAnsi="Verdana"/>
          <w:i/>
          <w:iCs/>
          <w:sz w:val="22"/>
          <w:szCs w:val="22"/>
        </w:rPr>
        <w:t>. Corregido por el art. 4, Decreto 555 de 2017. Los siguientes comportamientos afectan la integridad de los niños, niñas y adolescentes y por lo tanto no deben realizarse. Su incumplimiento da lugar a medidas correctivas, sin perjuicio de lo establecido por la normatividad vigente sobre la materia y de la responsabilidad penal a que haya lugar:</w:t>
      </w:r>
    </w:p>
    <w:p w14:paraId="235FD630" w14:textId="77777777" w:rsidR="00825546" w:rsidRPr="00825546" w:rsidRDefault="00825546" w:rsidP="00825546">
      <w:pPr>
        <w:jc w:val="both"/>
        <w:rPr>
          <w:rFonts w:ascii="Verdana" w:hAnsi="Verdana"/>
          <w:sz w:val="22"/>
          <w:szCs w:val="22"/>
        </w:rPr>
      </w:pPr>
      <w:r w:rsidRPr="00825546">
        <w:rPr>
          <w:rFonts w:ascii="Verdana" w:hAnsi="Verdana"/>
          <w:i/>
          <w:iCs/>
          <w:sz w:val="22"/>
          <w:szCs w:val="22"/>
        </w:rPr>
        <w:t>1. Permitir, auspiciar, tolerar, inducir o constreñir el ingreso de los niños, niñas y adolescentes a los lugares donde:</w:t>
      </w:r>
    </w:p>
    <w:p w14:paraId="2EA8B772" w14:textId="77777777" w:rsidR="00825546" w:rsidRPr="00825546" w:rsidRDefault="00825546" w:rsidP="00825546">
      <w:pPr>
        <w:jc w:val="both"/>
        <w:rPr>
          <w:rFonts w:ascii="Verdana" w:hAnsi="Verdana"/>
          <w:sz w:val="22"/>
          <w:szCs w:val="22"/>
        </w:rPr>
      </w:pPr>
      <w:r w:rsidRPr="00825546">
        <w:rPr>
          <w:rFonts w:ascii="Verdana" w:hAnsi="Verdana"/>
          <w:i/>
          <w:iCs/>
          <w:sz w:val="22"/>
          <w:szCs w:val="22"/>
        </w:rPr>
        <w:t>a) Se realicen espectáculos o actividades cinematográficas aptas solo para mayores de 18 años;</w:t>
      </w:r>
    </w:p>
    <w:p w14:paraId="1992593F" w14:textId="6E2D8426" w:rsidR="00825546" w:rsidRPr="00825546" w:rsidRDefault="00825546" w:rsidP="00825546">
      <w:pPr>
        <w:jc w:val="both"/>
        <w:rPr>
          <w:rFonts w:ascii="Verdana" w:hAnsi="Verdana"/>
          <w:sz w:val="22"/>
          <w:szCs w:val="22"/>
        </w:rPr>
      </w:pPr>
      <w:r w:rsidRPr="00825546">
        <w:rPr>
          <w:rFonts w:ascii="Verdana" w:hAnsi="Verdana"/>
          <w:i/>
          <w:iCs/>
          <w:sz w:val="22"/>
          <w:szCs w:val="22"/>
        </w:rPr>
        <w:t>b) Se preste el servicio de videojuegos salvo que sean aptos para la edad del niño, niña o adolescente, en las condiciones establecidas por la Ley 1554 de 2012;</w:t>
      </w:r>
    </w:p>
    <w:p w14:paraId="1E768EA5" w14:textId="77777777" w:rsidR="00825546" w:rsidRPr="00825546" w:rsidRDefault="00825546" w:rsidP="00825546">
      <w:pPr>
        <w:jc w:val="both"/>
        <w:rPr>
          <w:rFonts w:ascii="Verdana" w:hAnsi="Verdana"/>
          <w:sz w:val="22"/>
          <w:szCs w:val="22"/>
        </w:rPr>
      </w:pPr>
      <w:r w:rsidRPr="00825546">
        <w:rPr>
          <w:rFonts w:ascii="Verdana" w:hAnsi="Verdana"/>
          <w:i/>
          <w:iCs/>
          <w:sz w:val="22"/>
          <w:szCs w:val="22"/>
        </w:rPr>
        <w:t>c) Se practiquen actividades peligrosas, de acuerdo con la reglamentación establecida por el Gobierno nacional;</w:t>
      </w:r>
    </w:p>
    <w:p w14:paraId="454B11BA" w14:textId="77777777" w:rsidR="00825546" w:rsidRPr="00825546" w:rsidRDefault="00825546" w:rsidP="00825546">
      <w:pPr>
        <w:jc w:val="both"/>
        <w:rPr>
          <w:rFonts w:ascii="Verdana" w:hAnsi="Verdana"/>
          <w:sz w:val="22"/>
          <w:szCs w:val="22"/>
        </w:rPr>
      </w:pPr>
      <w:r w:rsidRPr="00825546">
        <w:rPr>
          <w:rFonts w:ascii="Verdana" w:hAnsi="Verdana"/>
          <w:i/>
          <w:iCs/>
          <w:sz w:val="22"/>
          <w:szCs w:val="22"/>
        </w:rPr>
        <w:t>d) Se realicen actividades sexuales o pornográficas, o se ejerza la prostitución, o la explotación sexual;</w:t>
      </w:r>
    </w:p>
    <w:p w14:paraId="6BF3F8D7" w14:textId="77777777" w:rsidR="00825546" w:rsidRPr="00825546" w:rsidRDefault="00825546" w:rsidP="00825546">
      <w:pPr>
        <w:jc w:val="both"/>
        <w:rPr>
          <w:rFonts w:ascii="Verdana" w:hAnsi="Verdana"/>
          <w:sz w:val="22"/>
          <w:szCs w:val="22"/>
        </w:rPr>
      </w:pPr>
      <w:r w:rsidRPr="00825546">
        <w:rPr>
          <w:rFonts w:ascii="Verdana" w:hAnsi="Verdana"/>
          <w:i/>
          <w:iCs/>
          <w:sz w:val="22"/>
          <w:szCs w:val="22"/>
        </w:rPr>
        <w:t>e) Se realicen actividades de diversión destinadas al consumo de bebidas alcohólicas y consumo de cigarrillo, tabaco y sus derivados y sustancias psicoactivas;</w:t>
      </w:r>
    </w:p>
    <w:p w14:paraId="099E3C01" w14:textId="77777777" w:rsidR="00825546" w:rsidRPr="00825546" w:rsidRDefault="00825546" w:rsidP="00825546">
      <w:pPr>
        <w:jc w:val="both"/>
        <w:rPr>
          <w:rFonts w:ascii="Verdana" w:hAnsi="Verdana"/>
          <w:sz w:val="22"/>
          <w:szCs w:val="22"/>
        </w:rPr>
      </w:pPr>
      <w:r w:rsidRPr="00825546">
        <w:rPr>
          <w:rFonts w:ascii="Verdana" w:hAnsi="Verdana"/>
          <w:i/>
          <w:iCs/>
          <w:sz w:val="22"/>
          <w:szCs w:val="22"/>
        </w:rPr>
        <w:t>f) Se desarrollen juegos de suerte y azar localizados; (...)</w:t>
      </w:r>
    </w:p>
    <w:p w14:paraId="1670BB6C" w14:textId="77777777" w:rsidR="00825546" w:rsidRPr="00825546" w:rsidRDefault="00825546" w:rsidP="00825546">
      <w:pPr>
        <w:jc w:val="both"/>
        <w:rPr>
          <w:rFonts w:ascii="Verdana" w:hAnsi="Verdana"/>
          <w:sz w:val="22"/>
          <w:szCs w:val="22"/>
        </w:rPr>
      </w:pPr>
      <w:r w:rsidRPr="00825546">
        <w:rPr>
          <w:rFonts w:ascii="Verdana" w:hAnsi="Verdana"/>
          <w:i/>
          <w:iCs/>
          <w:sz w:val="22"/>
          <w:szCs w:val="22"/>
        </w:rPr>
        <w:lastRenderedPageBreak/>
        <w:t>6. Inducir a niños, niñas o adolescentes a:</w:t>
      </w:r>
    </w:p>
    <w:p w14:paraId="7DD2D587" w14:textId="77777777" w:rsidR="00825546" w:rsidRPr="00825546" w:rsidRDefault="00825546" w:rsidP="00825546">
      <w:pPr>
        <w:jc w:val="both"/>
        <w:rPr>
          <w:rFonts w:ascii="Verdana" w:hAnsi="Verdana"/>
          <w:sz w:val="22"/>
          <w:szCs w:val="22"/>
        </w:rPr>
      </w:pPr>
      <w:r w:rsidRPr="00825546">
        <w:rPr>
          <w:rFonts w:ascii="Verdana" w:hAnsi="Verdana"/>
          <w:i/>
          <w:iCs/>
          <w:sz w:val="22"/>
          <w:szCs w:val="22"/>
        </w:rPr>
        <w:t>a) Consumir bebidas alcohólicas, cigarrillo, tabaco y sus derivados, sustancias psicoactivas o cualquier sustancia que afecte su salud;</w:t>
      </w:r>
    </w:p>
    <w:p w14:paraId="1C569E32" w14:textId="77777777" w:rsidR="00825546" w:rsidRPr="00825546" w:rsidRDefault="00825546" w:rsidP="00825546">
      <w:pPr>
        <w:jc w:val="both"/>
        <w:rPr>
          <w:rFonts w:ascii="Verdana" w:hAnsi="Verdana"/>
          <w:sz w:val="22"/>
          <w:szCs w:val="22"/>
        </w:rPr>
      </w:pPr>
      <w:r w:rsidRPr="00825546">
        <w:rPr>
          <w:rFonts w:ascii="Verdana" w:hAnsi="Verdana"/>
          <w:i/>
          <w:iCs/>
          <w:sz w:val="22"/>
          <w:szCs w:val="22"/>
        </w:rPr>
        <w:t>b) Participar en juegos de suerte y azar;</w:t>
      </w:r>
    </w:p>
    <w:p w14:paraId="41FFAB45" w14:textId="77777777" w:rsidR="00825546" w:rsidRPr="00825546" w:rsidRDefault="00825546" w:rsidP="00825546">
      <w:pPr>
        <w:jc w:val="both"/>
        <w:rPr>
          <w:rFonts w:ascii="Verdana" w:hAnsi="Verdana"/>
          <w:sz w:val="22"/>
          <w:szCs w:val="22"/>
        </w:rPr>
      </w:pPr>
      <w:r w:rsidRPr="00825546">
        <w:rPr>
          <w:rFonts w:ascii="Verdana" w:hAnsi="Verdana"/>
          <w:i/>
          <w:iCs/>
          <w:sz w:val="22"/>
          <w:szCs w:val="22"/>
        </w:rPr>
        <w:t>c) Ingresar a fiestas o eventos similares en los cuales exista previa restricción de edad por parte de las autoridades de Policía, o esté prohibido su ingreso por las normas vigentes.</w:t>
      </w:r>
    </w:p>
    <w:p w14:paraId="085A5E5F" w14:textId="77777777" w:rsidR="00825546" w:rsidRPr="00825546" w:rsidRDefault="00825546" w:rsidP="00825546">
      <w:pPr>
        <w:jc w:val="both"/>
        <w:rPr>
          <w:rFonts w:ascii="Verdana" w:hAnsi="Verdana"/>
          <w:sz w:val="22"/>
          <w:szCs w:val="22"/>
        </w:rPr>
      </w:pPr>
      <w:r w:rsidRPr="00825546">
        <w:rPr>
          <w:rFonts w:ascii="Verdana" w:hAnsi="Verdana"/>
          <w:i/>
          <w:iCs/>
          <w:sz w:val="22"/>
          <w:szCs w:val="22"/>
        </w:rPr>
        <w:t>d) La explotación laboral. (...)"</w:t>
      </w:r>
    </w:p>
    <w:p w14:paraId="0DE30FFF" w14:textId="680D159E" w:rsidR="00825546" w:rsidRPr="00825546" w:rsidRDefault="00825546" w:rsidP="00825546">
      <w:pPr>
        <w:jc w:val="both"/>
        <w:rPr>
          <w:rFonts w:ascii="Verdana" w:hAnsi="Verdana"/>
          <w:sz w:val="22"/>
          <w:szCs w:val="22"/>
        </w:rPr>
      </w:pPr>
      <w:r w:rsidRPr="00825546">
        <w:rPr>
          <w:rFonts w:ascii="Verdana" w:hAnsi="Verdana"/>
          <w:sz w:val="22"/>
          <w:szCs w:val="22"/>
        </w:rPr>
        <w:t>El presente concepto </w:t>
      </w:r>
      <w:r w:rsidRPr="00825546">
        <w:rPr>
          <w:rFonts w:ascii="Verdana" w:hAnsi="Verdana"/>
          <w:sz w:val="22"/>
          <w:szCs w:val="22"/>
          <w:vertAlign w:val="superscript"/>
        </w:rPr>
        <w:t>[1]</w:t>
      </w:r>
      <w:r w:rsidRPr="00825546">
        <w:rPr>
          <w:rFonts w:ascii="Verdana" w:hAnsi="Verdana"/>
          <w:sz w:val="22"/>
          <w:szCs w:val="22"/>
        </w:rPr>
        <w:t xml:space="preserve"> no es de obligatorio cumplimiento o ejecución para particulares o agentes externos, de conformidad con lo establecido en la Ley 1755 de 2015. No </w:t>
      </w:r>
      <w:proofErr w:type="gramStart"/>
      <w:r w:rsidRPr="00825546">
        <w:rPr>
          <w:rFonts w:ascii="Verdana" w:hAnsi="Verdana"/>
          <w:sz w:val="22"/>
          <w:szCs w:val="22"/>
        </w:rPr>
        <w:t>obstante</w:t>
      </w:r>
      <w:proofErr w:type="gramEnd"/>
      <w:r w:rsidRPr="00825546">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5AE966ED" w14:textId="77777777" w:rsidR="00825546" w:rsidRPr="00825546" w:rsidRDefault="00825546" w:rsidP="00825546">
      <w:pPr>
        <w:jc w:val="both"/>
        <w:rPr>
          <w:rFonts w:ascii="Verdana" w:hAnsi="Verdana"/>
          <w:sz w:val="22"/>
          <w:szCs w:val="22"/>
        </w:rPr>
      </w:pPr>
      <w:r w:rsidRPr="00825546">
        <w:rPr>
          <w:rFonts w:ascii="Verdana" w:hAnsi="Verdana"/>
          <w:sz w:val="22"/>
          <w:szCs w:val="22"/>
        </w:rPr>
        <w:t>Atentamente,</w:t>
      </w:r>
    </w:p>
    <w:p w14:paraId="471E8244" w14:textId="77777777" w:rsidR="00825546" w:rsidRPr="00825546" w:rsidRDefault="00825546" w:rsidP="00825546">
      <w:pPr>
        <w:jc w:val="both"/>
        <w:rPr>
          <w:rFonts w:ascii="Verdana" w:hAnsi="Verdana"/>
          <w:sz w:val="22"/>
          <w:szCs w:val="22"/>
        </w:rPr>
      </w:pPr>
      <w:r w:rsidRPr="00825546">
        <w:rPr>
          <w:rFonts w:ascii="Verdana" w:hAnsi="Verdana"/>
          <w:b/>
          <w:bCs/>
          <w:sz w:val="22"/>
          <w:szCs w:val="22"/>
        </w:rPr>
        <w:t>LUZ KARIME FERNÁNDEZ CASTILLO</w:t>
      </w:r>
    </w:p>
    <w:p w14:paraId="78784151" w14:textId="77777777" w:rsidR="00825546" w:rsidRPr="00825546" w:rsidRDefault="00825546" w:rsidP="00825546">
      <w:pPr>
        <w:jc w:val="both"/>
        <w:rPr>
          <w:rFonts w:ascii="Verdana" w:hAnsi="Verdana"/>
          <w:sz w:val="22"/>
          <w:szCs w:val="22"/>
        </w:rPr>
      </w:pPr>
      <w:r w:rsidRPr="00825546">
        <w:rPr>
          <w:rFonts w:ascii="Verdana" w:hAnsi="Verdana"/>
          <w:sz w:val="22"/>
          <w:szCs w:val="22"/>
        </w:rPr>
        <w:t>Jefe Oficina Asesora Jurídica</w:t>
      </w:r>
    </w:p>
    <w:p w14:paraId="022623FC" w14:textId="77777777" w:rsidR="00825546" w:rsidRDefault="00825546" w:rsidP="00825546">
      <w:pPr>
        <w:jc w:val="both"/>
        <w:rPr>
          <w:rFonts w:ascii="Verdana" w:hAnsi="Verdana"/>
          <w:sz w:val="22"/>
          <w:szCs w:val="22"/>
        </w:rPr>
      </w:pPr>
    </w:p>
    <w:p w14:paraId="7108D481" w14:textId="70A0C5F0" w:rsidR="00825546" w:rsidRPr="00825546" w:rsidRDefault="00825546" w:rsidP="00825546">
      <w:pPr>
        <w:jc w:val="both"/>
        <w:rPr>
          <w:rFonts w:ascii="Verdana" w:hAnsi="Verdana"/>
          <w:b/>
          <w:bCs/>
          <w:sz w:val="22"/>
          <w:szCs w:val="22"/>
        </w:rPr>
      </w:pPr>
      <w:r w:rsidRPr="00825546">
        <w:rPr>
          <w:rFonts w:ascii="Verdana" w:hAnsi="Verdana"/>
          <w:b/>
          <w:bCs/>
          <w:sz w:val="22"/>
          <w:szCs w:val="22"/>
        </w:rPr>
        <w:t>Notas pie de página:</w:t>
      </w:r>
    </w:p>
    <w:p w14:paraId="0BBE33CA" w14:textId="0C3F3CB6" w:rsidR="00825546" w:rsidRPr="00825546" w:rsidRDefault="00825546" w:rsidP="00825546">
      <w:pPr>
        <w:jc w:val="both"/>
        <w:rPr>
          <w:rFonts w:ascii="Verdana" w:hAnsi="Verdana"/>
          <w:sz w:val="22"/>
          <w:szCs w:val="22"/>
        </w:rPr>
      </w:pPr>
      <w:r w:rsidRPr="00825546">
        <w:rPr>
          <w:rFonts w:ascii="Verdana" w:hAnsi="Verdana"/>
          <w:sz w:val="22"/>
          <w:szCs w:val="22"/>
        </w:rPr>
        <w:t xml:space="preserve">1. “Como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cuando el concepto </w:t>
      </w:r>
      <w:r w:rsidRPr="00825546">
        <w:rPr>
          <w:rFonts w:ascii="Verdana" w:hAnsi="Verdana"/>
          <w:sz w:val="22"/>
          <w:szCs w:val="22"/>
        </w:rPr>
        <w:lastRenderedPageBreak/>
        <w:t>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M.P. Antonio Barrera Carbonel.</w:t>
      </w:r>
    </w:p>
    <w:p w14:paraId="66F9E5FA" w14:textId="77777777" w:rsidR="00825546" w:rsidRPr="00825546" w:rsidRDefault="00825546" w:rsidP="00825546">
      <w:pPr>
        <w:jc w:val="both"/>
      </w:pPr>
    </w:p>
    <w:sectPr w:rsidR="00825546" w:rsidRPr="0082554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546"/>
    <w:rsid w:val="00134B08"/>
    <w:rsid w:val="0082554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6C096"/>
  <w15:chartTrackingRefBased/>
  <w15:docId w15:val="{561B25C6-9185-4D28-A242-C7D794605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255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255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2554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2554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2554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2554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2554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2554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2554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2554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2554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2554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2554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2554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2554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2554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2554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25546"/>
    <w:rPr>
      <w:rFonts w:eastAsiaTheme="majorEastAsia" w:cstheme="majorBidi"/>
      <w:color w:val="272727" w:themeColor="text1" w:themeTint="D8"/>
    </w:rPr>
  </w:style>
  <w:style w:type="paragraph" w:styleId="Ttulo">
    <w:name w:val="Title"/>
    <w:basedOn w:val="Normal"/>
    <w:next w:val="Normal"/>
    <w:link w:val="TtuloCar"/>
    <w:uiPriority w:val="10"/>
    <w:qFormat/>
    <w:rsid w:val="008255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2554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2554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2554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25546"/>
    <w:pPr>
      <w:spacing w:before="160"/>
      <w:jc w:val="center"/>
    </w:pPr>
    <w:rPr>
      <w:i/>
      <w:iCs/>
      <w:color w:val="404040" w:themeColor="text1" w:themeTint="BF"/>
    </w:rPr>
  </w:style>
  <w:style w:type="character" w:customStyle="1" w:styleId="CitaCar">
    <w:name w:val="Cita Car"/>
    <w:basedOn w:val="Fuentedeprrafopredeter"/>
    <w:link w:val="Cita"/>
    <w:uiPriority w:val="29"/>
    <w:rsid w:val="00825546"/>
    <w:rPr>
      <w:i/>
      <w:iCs/>
      <w:color w:val="404040" w:themeColor="text1" w:themeTint="BF"/>
    </w:rPr>
  </w:style>
  <w:style w:type="paragraph" w:styleId="Prrafodelista">
    <w:name w:val="List Paragraph"/>
    <w:basedOn w:val="Normal"/>
    <w:uiPriority w:val="34"/>
    <w:qFormat/>
    <w:rsid w:val="00825546"/>
    <w:pPr>
      <w:ind w:left="720"/>
      <w:contextualSpacing/>
    </w:pPr>
  </w:style>
  <w:style w:type="character" w:styleId="nfasisintenso">
    <w:name w:val="Intense Emphasis"/>
    <w:basedOn w:val="Fuentedeprrafopredeter"/>
    <w:uiPriority w:val="21"/>
    <w:qFormat/>
    <w:rsid w:val="00825546"/>
    <w:rPr>
      <w:i/>
      <w:iCs/>
      <w:color w:val="0F4761" w:themeColor="accent1" w:themeShade="BF"/>
    </w:rPr>
  </w:style>
  <w:style w:type="paragraph" w:styleId="Citadestacada">
    <w:name w:val="Intense Quote"/>
    <w:basedOn w:val="Normal"/>
    <w:next w:val="Normal"/>
    <w:link w:val="CitadestacadaCar"/>
    <w:uiPriority w:val="30"/>
    <w:qFormat/>
    <w:rsid w:val="008255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25546"/>
    <w:rPr>
      <w:i/>
      <w:iCs/>
      <w:color w:val="0F4761" w:themeColor="accent1" w:themeShade="BF"/>
    </w:rPr>
  </w:style>
  <w:style w:type="character" w:styleId="Referenciaintensa">
    <w:name w:val="Intense Reference"/>
    <w:basedOn w:val="Fuentedeprrafopredeter"/>
    <w:uiPriority w:val="32"/>
    <w:qFormat/>
    <w:rsid w:val="00825546"/>
    <w:rPr>
      <w:b/>
      <w:bCs/>
      <w:smallCaps/>
      <w:color w:val="0F4761" w:themeColor="accent1" w:themeShade="BF"/>
      <w:spacing w:val="5"/>
    </w:rPr>
  </w:style>
  <w:style w:type="character" w:styleId="Hipervnculo">
    <w:name w:val="Hyperlink"/>
    <w:basedOn w:val="Fuentedeprrafopredeter"/>
    <w:uiPriority w:val="99"/>
    <w:unhideWhenUsed/>
    <w:rsid w:val="00825546"/>
    <w:rPr>
      <w:color w:val="467886" w:themeColor="hyperlink"/>
      <w:u w:val="single"/>
    </w:rPr>
  </w:style>
  <w:style w:type="character" w:styleId="Mencinsinresolver">
    <w:name w:val="Unresolved Mention"/>
    <w:basedOn w:val="Fuentedeprrafopredeter"/>
    <w:uiPriority w:val="99"/>
    <w:semiHidden/>
    <w:unhideWhenUsed/>
    <w:rsid w:val="008255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07C15F-61E5-4D4F-A426-7BB8CF394318}"/>
</file>

<file path=customXml/itemProps2.xml><?xml version="1.0" encoding="utf-8"?>
<ds:datastoreItem xmlns:ds="http://schemas.openxmlformats.org/officeDocument/2006/customXml" ds:itemID="{108F9B5A-839C-40D1-AAD0-55CD54A5DF7C}"/>
</file>

<file path=customXml/itemProps3.xml><?xml version="1.0" encoding="utf-8"?>
<ds:datastoreItem xmlns:ds="http://schemas.openxmlformats.org/officeDocument/2006/customXml" ds:itemID="{7AA24B8E-937A-48BD-B8B5-DCFAEDFE50FA}"/>
</file>

<file path=docProps/app.xml><?xml version="1.0" encoding="utf-8"?>
<Properties xmlns="http://schemas.openxmlformats.org/officeDocument/2006/extended-properties" xmlns:vt="http://schemas.openxmlformats.org/officeDocument/2006/docPropsVTypes">
  <Template>Normal</Template>
  <TotalTime>2</TotalTime>
  <Pages>1</Pages>
  <Words>1501</Words>
  <Characters>8259</Characters>
  <Application>Microsoft Office Word</Application>
  <DocSecurity>0</DocSecurity>
  <Lines>68</Lines>
  <Paragraphs>19</Paragraphs>
  <ScaleCrop>false</ScaleCrop>
  <Company/>
  <LinksUpToDate>false</LinksUpToDate>
  <CharactersWithSpaces>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2026-04-29T14:04:00Z</dcterms:created>
  <dcterms:modified xsi:type="dcterms:W3CDTF">2026-04-29T14:06:00Z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